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C0" w:rsidRPr="00C927C0" w:rsidRDefault="00C927C0" w:rsidP="00C927C0">
      <w:pPr>
        <w:spacing w:before="300" w:after="300" w:line="540" w:lineRule="atLeast"/>
        <w:outlineLvl w:val="1"/>
        <w:rPr>
          <w:rFonts w:ascii="Times New Roman" w:eastAsia="Times New Roman" w:hAnsi="Times New Roman" w:cs="Times New Roman"/>
          <w:b/>
          <w:bCs/>
          <w:sz w:val="45"/>
          <w:szCs w:val="45"/>
          <w:lang w:eastAsia="ru-RU"/>
        </w:rPr>
      </w:pPr>
      <w:r w:rsidRPr="00C927C0">
        <w:rPr>
          <w:rFonts w:ascii="Times New Roman" w:eastAsia="Times New Roman" w:hAnsi="Times New Roman" w:cs="Times New Roman"/>
          <w:b/>
          <w:bCs/>
          <w:sz w:val="45"/>
          <w:szCs w:val="45"/>
          <w:lang w:eastAsia="ru-RU"/>
        </w:rPr>
        <w:t>ESG-повестка в России потребует господдержки</w:t>
      </w:r>
    </w:p>
    <w:p w:rsidR="00C927C0" w:rsidRPr="00C927C0" w:rsidRDefault="00C927C0" w:rsidP="00C927C0">
      <w:pPr>
        <w:spacing w:line="210" w:lineRule="atLeast"/>
        <w:rPr>
          <w:rFonts w:ascii="Times New Roman" w:eastAsia="Times New Roman" w:hAnsi="Times New Roman" w:cs="Times New Roman"/>
          <w:caps/>
          <w:color w:val="A3A3A3"/>
          <w:spacing w:val="24"/>
          <w:sz w:val="15"/>
          <w:szCs w:val="15"/>
          <w:lang w:eastAsia="ru-RU"/>
        </w:rPr>
      </w:pPr>
      <w:r w:rsidRPr="00C927C0">
        <w:rPr>
          <w:rFonts w:ascii="Times New Roman" w:eastAsia="Times New Roman" w:hAnsi="Times New Roman" w:cs="Times New Roman"/>
          <w:caps/>
          <w:color w:val="A3A3A3"/>
          <w:spacing w:val="24"/>
          <w:sz w:val="15"/>
          <w:szCs w:val="15"/>
          <w:lang w:eastAsia="ru-RU"/>
        </w:rPr>
        <w:t>31 МАРТА 2022</w:t>
      </w:r>
    </w:p>
    <w:p w:rsidR="00C927C0" w:rsidRPr="00C927C0" w:rsidRDefault="00C927C0" w:rsidP="00C927C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0" cy="4137660"/>
            <wp:effectExtent l="0" t="0" r="0" b="0"/>
            <wp:docPr id="1" name="Рисунок 1" descr="http://napf.ru/pictures/220127/pi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pf.ru/pictures/220127/picture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41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Рейтинговое агентство «Эксперт РА» подготовило обзор «Будущее рынка устойчивого финансирования: сохранить и усилить национальную экспертизу». Его государственная поддержка становится критичной и для развития рынка. Его основные выводы: российская ESG-повестка сохранится, но изменит акценты и будет отличаться от зарубежной, соответствующие локальным потребностям переходные и социальные проекты будут развиваться опережающими темпами, а государственная поддержка становится критичной и для развития рынка.</w:t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«Эксперт РА», как и другие аналитики российского рынка инструментов устойчивого развития, отмечают успехи, которые были достигнуты им в 2021 году. «Государство предоставило бизнесу новое регулирование, а компании и банки успешно опробовали предложенные форматы. Успешно состоялось 12 новых выпусков, 10 из которых попали в сектор устойчивого развития </w:t>
      </w:r>
      <w:proofErr w:type="spellStart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Мосбиржи</w:t>
      </w:r>
      <w:proofErr w:type="spellEnd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, семь – в реестр ВЭБ.РФ. Лидером на рынке остаются зеленые облигации, занимая 80% рынка в стоимостном объеме, с приоритетом инвестиций в чистый транспорт и возобновляемую энергетику», — говорится в обзоре.</w:t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Агентство провело опрос в течение 1-24 февраля среди </w:t>
      </w:r>
      <w:proofErr w:type="spellStart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рейтингуемых</w:t>
      </w:r>
      <w:proofErr w:type="spellEnd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им топ-20 банков, топ-50 управляющих компаний (УК), а также 120 нефинансовых компаний. Таким образом, сейчас мы имеем </w:t>
      </w: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актуальный срез по экономике в сфере ESG накануне санкций. Его важно учитывать, поскольку он станет точкой отсчета и для антикризисного восстановления, и для развития тех, кто находится на более ранних стадиях погружения в ESG-трансформацию. Согласно опросу доля компаний нефинансового сектора, утвердивших экологические политики и готовых собрать и раскрыть информацию о результатах в области устойчивого развития, выросла до 50%, но без погружения в климатическую повестку и участия на рынке углеродных единиц. Со стороны финансового сектора наибольшую работу проделали банки, начавшие проводить ESG-оценку заемщиков, в отличие от УК, которые устанавливают ограниченные лимиты на ESG-инвестиции и к которым не предъявляются требования по соблюдению принципов ответственного инвестирования со стороны НПФ.</w:t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«Уже 30% компаний имеют ESG-рейтинг и еще 13% планируют получить к 2024 году. А доля скептиков сократилась почти на 30 п. п. Ключевой целью получения рейтинга остается улучшение имиджа, вместе с тем набирают популярность и иные формы использования: взаимодействие с банками и инвесторами, соблюдение требований контроля цепочек поставок со стороны контрагентов, в тендерных закупках и пр.», — считают аналитики агентства  </w:t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Они предполагают, что острая геополитическая ситуация и введенные санкции сместили вектор развития российского ESG-рынка. Российские компании меняют приоритеты от доказывания своей ESG-зрелости западному миру к планомерной реализации собственных проектов устойчивого развития в условиях мобилизационной экономики. Сейчас важно сохранить наработанный опыт размещений и экспертизы за последние два года и масштабировать его, опираясь на национальные таксономии и меры государственной поддержки.</w:t>
      </w:r>
    </w:p>
    <w:p w:rsidR="00C927C0" w:rsidRPr="00C927C0" w:rsidRDefault="00C927C0" w:rsidP="00C927C0">
      <w:pPr>
        <w:spacing w:after="300" w:line="36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Более 80% компаний, опрошенных «Эксперт РА», получивших ESG-рейтинг, отмечают наличие дополнительных преимуществ. Наиболее часто встречаемые из них: расширение круга инвесторов и акционеров, заинтересованных в долгосрочных вложениях, усиление репутации компании, рост доверия заинтересованных сторон, возможность показать устойчивость бизнес-модели и получить </w:t>
      </w:r>
      <w:proofErr w:type="spellStart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sustainability</w:t>
      </w:r>
      <w:proofErr w:type="spellEnd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proofErr w:type="spellStart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linked</w:t>
      </w:r>
      <w:proofErr w:type="spellEnd"/>
      <w:r w:rsidRPr="00C927C0">
        <w:rPr>
          <w:rFonts w:ascii="Times New Roman" w:eastAsia="Times New Roman" w:hAnsi="Times New Roman" w:cs="Times New Roman"/>
          <w:sz w:val="21"/>
          <w:szCs w:val="21"/>
          <w:lang w:eastAsia="ru-RU"/>
        </w:rPr>
        <w:t>-финансирование, а также быть включенным в ESG-индексы.</w:t>
      </w:r>
    </w:p>
    <w:p w:rsidR="00C927C0" w:rsidRPr="00C927C0" w:rsidRDefault="00C927C0" w:rsidP="00C927C0">
      <w:pPr>
        <w:shd w:val="clear" w:color="auto" w:fill="FFFFFF"/>
        <w:spacing w:after="300" w:line="360" w:lineRule="atLeast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C927C0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«Мы ожидаем ориентации на российский рейтинговый рынок из-за введенных санкций на присвоение кредитных рейтингов российским организациям европейскими кредитными рейтинговыми агентствами, а также массового снижения ESG-рейтингов зарубежными провайдерами. Так, MSCI ограничила ESG-рейтинг российских компаний на уровне B и скорректировала оценки корпоративного управления в связи с финансовыми трудностями. В результате 71 % компаний получили рейтинг B, а остальные 29 % – CCC. Правительственный ESG-рейтинг России был также понижен до ССС 8 марта», — резюмирует «Эксперт РА».</w:t>
      </w:r>
    </w:p>
    <w:p w:rsidR="003E743C" w:rsidRDefault="003E743C">
      <w:bookmarkStart w:id="0" w:name="_GoBack"/>
      <w:bookmarkEnd w:id="0"/>
    </w:p>
    <w:sectPr w:rsidR="003E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7C0"/>
    <w:rsid w:val="003E743C"/>
    <w:rsid w:val="00823E9D"/>
    <w:rsid w:val="00985A1C"/>
    <w:rsid w:val="009D3267"/>
    <w:rsid w:val="00C9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1AA1E-8E0F-42EB-8DC4-14239A87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927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7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ox-paragraphtext">
    <w:name w:val="box-paragraph__text"/>
    <w:basedOn w:val="a"/>
    <w:rsid w:val="00C92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9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5534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</w:div>
          </w:divsChild>
        </w:div>
        <w:div w:id="45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2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7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</dc:creator>
  <cp:keywords/>
  <dc:description/>
  <cp:lastModifiedBy>ИВ</cp:lastModifiedBy>
  <cp:revision>1</cp:revision>
  <dcterms:created xsi:type="dcterms:W3CDTF">2022-04-01T09:58:00Z</dcterms:created>
  <dcterms:modified xsi:type="dcterms:W3CDTF">2022-04-01T09:58:00Z</dcterms:modified>
</cp:coreProperties>
</file>