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04" w:rsidRDefault="00ED3104">
      <w:pPr>
        <w:pStyle w:val="ConsPlusNormal"/>
        <w:jc w:val="right"/>
      </w:pPr>
      <w:bookmarkStart w:id="0" w:name="_GoBack"/>
      <w:bookmarkEnd w:id="0"/>
      <w:r>
        <w:t>"Финансы", 2022, N 2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Title"/>
        <w:jc w:val="center"/>
      </w:pPr>
      <w:r>
        <w:t>С ЧЕГО НАЧАТЬ УЧЕТ ESG-РИСКОВ В ФИНАНСОВОЙ ОРГАНИЗАЦИИ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Введение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 xml:space="preserve">Цели устойчивого развития Организации Объединенных Наций, заключающиеся в "достижении лучшего и более устойчивого будущего для всех" </w:t>
      </w:r>
      <w:hyperlink w:anchor="P109" w:history="1">
        <w:r>
          <w:rPr>
            <w:color w:val="0000FF"/>
          </w:rPr>
          <w:t>[1]</w:t>
        </w:r>
      </w:hyperlink>
      <w:r>
        <w:t xml:space="preserve"> по трем основным направлениям: экологическое, социальное и экономическое развитие, - могут быть достигнуты при помощи трансформации деятельности экономических субъектов, мировой экономики и развития общества в целом с учетом экологических, социальных факторов и факторов корпоративного управления (Environment, Social, Governance: ESG-факторов). Более высокая инвестиционная привлекательность экономического субъекта в глазах инвестора при учете им ESG-факторов в результате способна стимулировать данный переход с финансово-экономической точки зрения и, соответственно, привести к необходимой переориентации потоков капитала. В связи с этим внедрение в деятельность экономических субъектов процесса учета ESG-факторов стало необходимым условием реализации целей устойчивого развития.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Регуляторные стандарты и требования пока отсутствуют, но ожидание будущих трансформаций запускает структурные изменения в экономике и финансах по всему миру. Чтобы идти в ногу со временем, развивать свои бизнес-процессы, управлять своими рисками и быть привлекательными с инвестиционной точки зрения, компаниям необходимо начинать действовать уже сейчас. В статье предложены подходы, как подступиться к этому новому, но обретающему все большую важность процессу, которые помогают взглянуть на него концептуально, оценить масштаб вызова и выстроить примерные шаги к достижению цели.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Влияние ESG-рисков на устойчивость компании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Факторы ESG-рисков материализуются через традиционные финансовые и нефинансовые риски: кредитный, рыночный, ликвидности, операционный и репутационный. Влияние ESG-рисков может быть распределено на длительном промежутке времени, а связанные с ними потери также могут реализоваться в сроки, которые превышают срочность активов и обязательств финансового института. Результаты оценки только традиционных финансовых рисков и текущие финансовые показатели деятельности финансового института могут адекватно не отражать влияние на его долгосрочную устойчивость ESG-факторов, особенно учитывая их полную временную неопределенность и различные каналы трансмиссии в финансовые риски. Тем не менее идентификация ESG-факторов и учет ESG-рисков позволяет снизить их негативное влияние на долгосрочную устойчивость финансовых институтов.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Далее под ESG-рисками будут пониматься те аспекты традиционных финансовых рисков, через которые ESG-факторы могут оказывать влияние на финансовое положение и устойчивость экономических субъектов.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Управление ESG-рисками в финансовой организации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Внедрение учета ESG-рисков - профессиональный вызов для организации, ее менеджмента и сотрудников, ответственных за оценку и управление рисками. Широкий взгляд на данный вызов, постоянное повышение своей компетентности в этой новой, но стремительно развивающейся теме, а также планомерное вынесение связанных с данной тематикой вопросов на обсуждение руководством различных направлений компании должны в результате помочь грамотно учесть их при утверждении бизнес-стратегии, интегрировать в корпоративное управление и систему управления рисками.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Как и при управлении традиционными видами рисков, меры по интеграции учета ESG-</w:t>
      </w:r>
      <w:r>
        <w:lastRenderedPageBreak/>
        <w:t>рисков необходимо применять исходя из принципа пропорциональности, то есть нужно принимать во внимание индивидуальный риск-профиль финансовой организации, ее текущую бизнес-модель и особенности процесса принятия бизнес-решений, размер, внутреннюю структуру организации и прочие факторы. Такие факторы, как тип контрагента и заемщика, финансового продукта или портфеля, ключевые направления бизнес-стратегии финансовой организации, секторальная и географическая структура и состав активов, уровни концентрации риска являются важнейшими критериями, которые необходимо учитывать при определении уязвимости организации перед ESG-рисками.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Управление ESG-рисками финансовой организации должно в целом отражать оценку существенности этих рисков для бизнес-модели, операционной среды и аппетита к риску организации. Крайне не рекомендуется организациям априорно считать ESG-риски несущественными в силу их долгосрочного характера. Вместо этого рекомендуется попытаться учесть их влияние на всех временных горизонтах.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Бизнес-стратегия.</w:t>
      </w:r>
      <w:r>
        <w:t xml:space="preserve"> Финансовые организации как ответственные за утверждение и следование своей бизнес-стратегии должны учитывать влияние ESG-рисков для обеспечения эффективности и устойчивости бизнес-модели на кратко-, средне- и долгосрочном горизонтах. Для этого финансовой организации следует интегрировать учет ESG-рисков в следующие бизнес-процессы: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разработка и утверждение бизнес-стратегии, стратегические цели и задачи финансовой организации (как минимум на 10 лет в будущее);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взаимодействие с контрагентами, заемщиками, кредиторами и акционерами;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оценка потенциальной потребности рынка для внедрения финансовых продуктов устойчивого развития либо совершенствования параметров имеющихся финансовых инструментов.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Система управления рисками.</w:t>
      </w:r>
      <w:r>
        <w:t xml:space="preserve"> При интеграции управления ESG-рисками в систему управления рисками следует принимать во внимание существенность влияния ESG-рисков на финансовые риски организации на различных временных горизонтах, в том числе: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учитывать существенные ESG-риски при определении аппетита к риску;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управлять ESG-рисками как драйверами финансовых рисков;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идентифицировать пробелы в информации о ESG-рисках и методологических подходах к их оценке, с которыми сталкивается организация, и устранять их;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устанавливать политики по оценке финансовой устойчивости контрагентов и заемщиков с учетом ESG-рисков, развивать метрики для мониторинга рисков;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развивать методологии стресс-тестирования финансовой устойчивости организации в случае реализации ESG-рисков и на основе полученных результатов совершенствовать бизнес-модель и инвестиционные стратегии.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Корпоративное управление.</w:t>
      </w:r>
      <w:r>
        <w:t xml:space="preserve"> При интеграции финансовыми организациями учета ESG-рисков в структуру корпоративного управления необходимо установить четкие и прозрачные процедуры и должностные обязанности менеджмента, комитетов, рядовых сотрудников в рамках действующих бизнес-процессов, учитывать ESG в функциях внутреннего контроля. Предполагается, что данный процесс должен быть выстроен сверху вниз, то есть следование целям, учитывающим ESG, и распределение ответственности по учету ESG-рисков должны исходить от высшего менеджмента и присутствовать в функционале сотрудников на всех уровнях процесса принятия бизнес-решений. Ключевые показатели эффективности (KPI) и политику по </w:t>
      </w:r>
      <w:r>
        <w:lastRenderedPageBreak/>
        <w:t>вознаграждению также необходимо привести в соответствие с долгосрочными целями и бизнес-стратегией финансовой организации с учетом ESG-рисков. Повышение осведомленности и экспертности сотрудников компании в сфере ESG необходимо для осуществления проактивных действий для обеспечения готовности к вызовам, связанным с реализацией ESG-рисков.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Подходы к идентификации и оценке ESG-рисков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С целью учета ESG-рисков финансовым организациям необходимо разработать и внедрить в свою практику методологические подходы, а также расчет и мониторинг качественных и количественных индикаторов.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Несмотря на то что на пути интеграции ESG-рисков в управленческие процессы и систему управления рисками финансовой организации можно выделить множество ограничений, учет ESG-рисков рекомендуется начать с двух основных аспектов управления рисками, таких как идентификация и оценка ESG-рисков. И по результатам разработать план действий по их учету в деятельности организации.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Идентификация ESG-рисков.</w:t>
      </w:r>
      <w:r>
        <w:t xml:space="preserve"> Идентификацию ESG-рисков рекомендуется проводить с должным уровнем детализации, то есть необходимо классифицировать активы на основе характеристики ESG, схожести их подверженности ESG-факторам. Для этого могут использоваться как количественные, так и качественные индикаторы. Классифицировать активы рекомендуется в разрезе классов, географической принадлежности, секторов и отраслей, контрагентов и заемщиков, а также таких параметров, как срок жизни актива, наличие условных обязательств, наличие обеспечения и пр. Данная верхнеуровневая классификация может выступать стартовой точкой для дальнейшего более детального анализа активов из наиболее подверженных ESG-рискам категорий.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Оценка ESG-рисков.</w:t>
      </w:r>
      <w:r>
        <w:t xml:space="preserve"> После того как ESG-риски идентифицированы, необходимо применить методологические подходы для оценки их потенциального воздействия на активы финансовых организаций. Инструменты оценки должны поддерживать возможность сопоставления активов из разных категорий (выделенных на основе классификации), а также обеспечивать возможность оценки ESG-рисков совокупного портфеля и финансовой организации в целом. Учитывая, что методология количественной оценки ESG-рисков и используемые данные могут меняться и развиваться, подход к оценке изначально должен быть достаточно гибким. Результатом оценки классифицированных на первом шаге рисков будет более глубокое понимание финансовой уязвимости финансовых организаций перед ESG-рисками.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После идентификации и оценки ESG-рисков необходимо осуществить соответствующие действия по внедрению учета, мониторинга и контроля ESG-рисков в структуру, стратегию, операционную деятельность и систему управления рисками.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Для поддержания целостности и адекватности всей процедуры оценки рисков важно установить между описанными выше шагами формальные циклы обратной связи, в частности для выявления любых потенциальных ошибок или несоответствий в цикле классификации и возможностей для оптимизации и усовершенствования (например, повышения гранулярности данных) с точки зрения сбора данных, документации, а также применяемых методологий.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Как и при любой оценке рисков, следует придерживаться риск-ориентированного подхода (risk-based approach), который бы учитывал вероятность и масштаб последствий в случае реализации риска. Существенность ESG-рисков для финансовой организации при этом будет зависеть от состава, структуры активов и подверженности ESG-рискам как отдельных частей, так и портфеля активов в целом.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Идентификация и оценка ESG-рисков представляют собой комплексную процедуру. Для цели идентификации ESG-факторов и ESG-рисков могут быть использованы различные </w:t>
      </w:r>
      <w:r>
        <w:lastRenderedPageBreak/>
        <w:t>качественные и количественные индикаторы. Например, для оценки рисков, относящихся к окружающей среде и климату (E-риски), могут использоваться следующие данные: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- показатели, содержащиеся в отчетности по раскрытию нефинансовой информации в рамках регулярной корпоративной отчетности (например, в соответствии со стандартами раскрытия TCFD </w:t>
      </w:r>
      <w:hyperlink w:anchor="P110" w:history="1">
        <w:r>
          <w:rPr>
            <w:color w:val="0000FF"/>
          </w:rPr>
          <w:t>[2]</w:t>
        </w:r>
      </w:hyperlink>
      <w:r>
        <w:t xml:space="preserve"> или GRI </w:t>
      </w:r>
      <w:hyperlink w:anchor="P111" w:history="1">
        <w:r>
          <w:rPr>
            <w:color w:val="0000FF"/>
          </w:rPr>
          <w:t>[3]</w:t>
        </w:r>
      </w:hyperlink>
      <w:r>
        <w:t>);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- таксономия зеленых и адаптационных проектов </w:t>
      </w:r>
      <w:hyperlink w:anchor="P112" w:history="1">
        <w:r>
          <w:rPr>
            <w:color w:val="0000FF"/>
          </w:rPr>
          <w:t>[4]</w:t>
        </w:r>
      </w:hyperlink>
      <w:r>
        <w:t xml:space="preserve"> Правительства РФ;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объемы выбросов парниковых газов в CO</w:t>
      </w:r>
      <w:r>
        <w:rPr>
          <w:vertAlign w:val="subscript"/>
        </w:rPr>
        <w:t>2</w:t>
      </w:r>
      <w:r>
        <w:t>-эквиваленте и оценка углеродного следа продукта/компании/проекта (GHG emission [</w:t>
      </w:r>
      <w:hyperlink w:anchor="P113" w:history="1">
        <w:r>
          <w:rPr>
            <w:color w:val="0000FF"/>
          </w:rPr>
          <w:t>5</w:t>
        </w:r>
      </w:hyperlink>
      <w:r>
        <w:t xml:space="preserve">, </w:t>
      </w:r>
      <w:hyperlink w:anchor="P114" w:history="1">
        <w:r>
          <w:rPr>
            <w:color w:val="0000FF"/>
          </w:rPr>
          <w:t>6</w:t>
        </w:r>
      </w:hyperlink>
      <w:r>
        <w:t>]);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- стандарты и принципы международных организаций и центральных банков </w:t>
      </w:r>
      <w:hyperlink w:anchor="P115" w:history="1">
        <w:r>
          <w:rPr>
            <w:color w:val="0000FF"/>
          </w:rPr>
          <w:t>[7]</w:t>
        </w:r>
      </w:hyperlink>
      <w:r>
        <w:t>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собственные подходы финансовых организаций к классификации;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инвестиционные ESG-бенчмарки.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Также желательно принять во внимание качественную информацию об эволюции ESG-рисков с течением времени. То есть, проводя идентификацию и оценку актива в конкретный момент времени, имеет смысл учитывать потенциальные изменения, которые могут повлиять на его оценку в будущем, например информацию о том, имеет ли контрагент или заемщик намерение развиваться в направлении устойчивого развития, снижать выбросы парниковых газов, проводить технологическую модернизацию, осуществлять прочие меры, оказывающие положительное влияние на экологию.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Поскольку различные показатели отражают отдельные аспекты ESG-рисков, то для разных отраслей более релевантными и существенными могут быть различные индикаторы ESG.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Методические подходы к оценке ESG-рисков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Среди множества подходов к оценке ESG-рисков, развиваемых участниками финансовых рынков, можно выделить три наиболее эффективных методических подхода: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1) анализ соответствия портфеля целям устойчивого развития и ESG;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2) анализ структуры (профиля) рисков;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3) анализ активов под риском (экспозиции).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Данные три подхода призваны помочь финансовой организации оценить, насколько портфель активов находится в соответствии с глобальными или региональными целями устойчивого развития и ESG, а также выявить уязвимости и риски, которым подвержен портфель в целом. Подходы дополняют друг друга и могут применяться как по отдельности, так и вместе с целью учета ESG-рисков в бизнес-стратегии, системе управления рисками и корпоративном управлении.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Концепция устойчивого развития тесно связана с вопросами учета и управления рисками для окружающей среды (E-риски), и на текущий момент E-компоненту уделяется первоочередное внимание. Глобальный тренд на декарбонизацию, разработку экологических стандартов производства и повышение социальной ответственности бизнеса формирует понимание того, что участники, не учитывающие этих факторов, будут создавать повышенные риски для финансового сектора.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Национальные регуляторы и надзорные органы, а также участники финансового сектора в рамках E-компонента в большей степени фокусируют внимание на вопросах изменения климата и </w:t>
      </w:r>
      <w:r>
        <w:lastRenderedPageBreak/>
        <w:t>накапливают опыт в данной сфере. Поэтому и учет ESG-рисков в деятельности финансовой организации можно начать с учета рисков E-компонента и климатических рисков в частности. На примере климатических рисков рассмотрим методические подходы к учету ESG-рисков: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1. Анализ соответствия портфеля целям устойчивого развития и ESG.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i/>
        </w:rPr>
        <w:t>Насколько портфель активов соответствует глобальным целям устойчивого развития и ESG?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Следуя данному подходу в рамках оценки E-риска, финансовой организации необходимо оценить, как и насколько необходимо скорректировать состав и структуру своего портфеля активов, для того чтобы эффективно управлять рисками, связанными с переходом к низкоуглеродной экономике и достижением международных договоренностей по климату. Анализ портфеля должен ставить перед собой конечную долгосрочную цель глобальных усилий по контролю изменения климата и призван в явном виде определить необходимые структурные изменения портфеля финансовой организации для ее достижения </w:t>
      </w:r>
      <w:hyperlink w:anchor="P116" w:history="1">
        <w:r>
          <w:rPr>
            <w:color w:val="0000FF"/>
          </w:rPr>
          <w:t>[8]</w:t>
        </w:r>
      </w:hyperlink>
      <w:r>
        <w:t>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Для цели учета влияния климатических рисков рекомендуется принимать в расчет такие показатели (и вести статистику по таким показателям), как: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цель привлечения финансирования;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срок заимствования;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наличие обеспечения;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наличие государственного поручительства или гарантии;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углеродный след заемщика и показатель выбросов парниковых газов;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отнесение к зеленому финансированию в соответствии с принятой таксономией устойчивого (зеленого) инвестирования [</w:t>
      </w:r>
      <w:hyperlink w:anchor="P117" w:history="1">
        <w:r>
          <w:rPr>
            <w:color w:val="0000FF"/>
          </w:rPr>
          <w:t>9</w:t>
        </w:r>
      </w:hyperlink>
      <w:r>
        <w:t xml:space="preserve">, </w:t>
      </w:r>
      <w:hyperlink w:anchor="P112" w:history="1">
        <w:r>
          <w:rPr>
            <w:color w:val="0000FF"/>
          </w:rPr>
          <w:t>4</w:t>
        </w:r>
      </w:hyperlink>
      <w:r>
        <w:t>];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"раскрашивание" активов на основе соответствия критериям принадлежности к зеленому финансированию.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ESG-рейтинги, присвоенные кредитными рейтинговыми агентствами (или его составляющей в части "E" (Environment) для оценки E-риска).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2. Анализ структуры (профиля) рисков.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i/>
        </w:rPr>
        <w:t>Как связанные с устойчивостью вопросы повлияют на риск-профиль портфеля активов и применяемые для контроля и управления риск-индикаторы?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Среди подходов к моделированию влияния ESG-рисков на риск-профиль финансовой организации наибольший прогресс может быть достигнут при проведении климатического стресс-тестирования. Это, в частности, может быть связано с тем, что из-за природы климатического риска и каналов влияния на финансовые риски его анализ направлен исключительно в будущее. Климатический стресс-тест позволяет получить комплексную оценку последствий реализации различных климатических сценариев, отражающих возможные пути будущей динамики параметров перехода (например, цен на углерод), физических параметров (например, рост средней мировой температуры), соответствующих изменений в макропеременных (например, объем производства в различных секторах, валовой внутренний продукт, безработица) и финансовых переменных (например, процентные ставки). Конечная цель стресс-теста - получение оценки изменения риск-параметров портфеля активов и влияние на стратегию и собственный капитал финансовой организации.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lastRenderedPageBreak/>
        <w:t>При проведении стресс-тестирования и сценарного анализа рекомендуется: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- применять набор потенциально возможных сценариев введения мер и политик перехода к низкоуглеродной экономике и изменения условий окружающей среды (в частности, сценарии, разработанные Сообществом центральных банков и надзорных органов по повышению экологичности финансовой системы (NGFS) </w:t>
      </w:r>
      <w:hyperlink w:anchor="P80" w:history="1">
        <w:r>
          <w:rPr>
            <w:color w:val="0000FF"/>
          </w:rPr>
          <w:t>&lt;1&gt;</w:t>
        </w:r>
      </w:hyperlink>
      <w:r>
        <w:t xml:space="preserve"> и/или Международным энергетическим агентством (IEA) </w:t>
      </w:r>
      <w:hyperlink w:anchor="P81" w:history="1">
        <w:r>
          <w:rPr>
            <w:color w:val="0000FF"/>
          </w:rPr>
          <w:t>&lt;2&gt;</w:t>
        </w:r>
      </w:hyperlink>
      <w:r>
        <w:t>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оценивать влияние климатических рисков на кредитный, рыночный и операционный риски и финансовые показатели финансовой организации;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интегрировать оценку связанных с климатом финансовых рисков (E-риски) во внутренних процедурах оценки достаточности капитала (для банков).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1" w:name="P80"/>
      <w:bookmarkEnd w:id="1"/>
      <w:r>
        <w:t>&lt;1&gt; URL: https://www.ngfs.net/ngfs-scenarios-portal/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2" w:name="P81"/>
      <w:bookmarkEnd w:id="2"/>
      <w:r>
        <w:t>&lt;2&gt; URL: https://www.iea.org/data-and-statistics/data-products/?filter=scenarios (дата обращения: 17.11.2021).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Методология стресс-тестирования и сценарного анализа климатического риска должна включать процедуру проверки устойчивости бизнес-модели и инвестиционной стратегии организации.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b/>
        </w:rPr>
        <w:t>3. Анализ активов под риском (экспозиции).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rPr>
          <w:i/>
        </w:rPr>
        <w:t>Как подверженность климатическим рискам конкретных активов и контрагентов влияет на ESG-риски финансовой организации?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Данный подход предполагает оценку финансовыми организациями своих активов и контрагентов на предмет подверженности климатическим рискам. Оценка климатической составляющей риска может дополнить стандартную оценку финансовых категорий риска. Рекомендуется проводить оценку и использовать индикаторы на уровне компаний и отраслей для отражения в анализе различной чувствительности к ESG-факторам (и его климатической составляющей в частности).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Анализ подверженности ESG-факторам опирается на ретроспективные показатели. Оценка подверженности активов и контрагентов климатическим факторам позволяет лучше понять контрагентов и оценить эффективность с точки зрения ESG текущего и потенциального портфеля активов до принятия инвестиционных решений.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В учет подверженности климатическим факторам могут включаться ESG-рейтинги и оценки, полученные из следующих источников: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ESG-рейтинги и ESG-ренкинги международных и российских рейтинговых агентств (Sustainalytics, MSCI, ISS ESG, RobecoSam, S&amp;P ESG evaluation, RAEX Europe, "РА Эксперт", "АКРА", "НРА" и пр.);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модели оценки ESG, разработанные финансовыми организациями для собственной оценки;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 скоринговые модели ESG, разработанные инвестиционными компаниями, управляющими активами и прочими общедоступными провайдерами (State Street's R-Factor, Refinitiv и пр.).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ESG-рейтинги контрагентов, заемщиков, проектов финансирования, объектов </w:t>
      </w:r>
      <w:r>
        <w:lastRenderedPageBreak/>
        <w:t>инвестирования могут быть учтены при оценке подверженности климатическим рискам, способности менеджмента работать с климатическими рисками и управлять своим влиянием на окружающую среду. Данные рейтинги могут применяться для сравнительного анализа как активов или компаний в рамках одной отрасли, так и из разных отраслей экономики.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При интерпретации ESG-рейтинга и учете его в оценке финансовых рисков следует принимать в расчет ряд особенностей, связанных с различными подходами рейтинговых агентств к его расчету. Значения ESG-рейтингов для одной и той же компании могут существенно различаться, в частности, в связи с тем, что агентства могут учитывать разные наборы факторов, входящих в ESG, и придавать им различную важность. Другие сложности интерпретации и применения ESG-рейтингов заключаются в недостаточной информации относительно влияния на окружающую среду, отсутствии количественных оценок, наличии большого числа допущений, недостаточной прозрачности методик расчета влияния ESG-факторов и пр.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 xml:space="preserve">Для более точного определения влияния ESG-факторов на операционную деятельность и финансовые показатели компаний рекомендуется применять карту существенности (например, разработанную Советом по стандартам учета в области устойчивого развития - SASB </w:t>
      </w:r>
      <w:hyperlink w:anchor="P96" w:history="1">
        <w:r>
          <w:rPr>
            <w:color w:val="0000FF"/>
          </w:rPr>
          <w:t>&lt;3&gt;</w:t>
        </w:r>
      </w:hyperlink>
      <w:r>
        <w:t>), в которой определяются финансово существенные проблемы ESG для различных отраслей экономики. Поскольку по своей природе существенность ESG-факторов будет отличаться для компаний из разных отраслей, данный подход будет способствовать общему пониманию относительной важности различных факторов ESG в различных отраслях, тем самым облегчая последовательную оценку ESG-риска.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3" w:name="P96"/>
      <w:bookmarkEnd w:id="3"/>
      <w:r>
        <w:t>&lt;3&gt; URL: https://www.sasb.org (дата обращения: 17.11.2021).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>С учетом всех особенностей применения предполагается использование ESG-рейтингов в качестве дополнительной информации наряду с собственными оценками финансовых организаций своих контрагентов, клиентов и заемщиков. В случае оценки подверженности ESG-факторам небольших компаний, не имеющих ESG-рейтинга, в качестве альтернативы может использоваться значение рейтинга для отрасли, в которой оцениваемая компания ведет свою деятельность.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Рекомендуется на регулярной основе проводить мониторинг и пересмотр подверженности портфеля активов ESG-рискам с целью выявления отклонений от намеченной стратегии и принятого риск-аппетита организации, а также принятия своевременных действий по устранению таких отклонений (либо пересмотра стратегии и риск-аппетита). Мониторинг и сбор информации в динамике будут способствовать накоплению организацией исторических данных, что должно привести к повышению осведомленности, улучшению качества моделей оценки рисков и совершенствованию стратегии развития компании.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Три предложенных подхода предполагают анализ и оценку ESG-рисков как в момент появления актива в портфеле финансовой организации, так и в рамках мониторинга уже существующего портфеля активов. Подверженность активов ESG-рискам должна быть отражена с достаточным уровнем детализации в оценке финансовых рисков в разрезе видов финансовых инструментов, контрагентов, проектов, заемщиков, их географической принадлежности, основных направлений деятельности (по секторам) и отраслевой принадлежности компаний-заемщиков, а также для портфеля активов в целом.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Заключение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r>
        <w:t xml:space="preserve">На пути создания и следования стратегии устойчивого развития и учета ESG-рисков в своей деятельности финансовые организации могут столкнуться с множеством вызовов. На текущий момент нет разработанных стандартов устойчивого развития, которые бы четко определяли </w:t>
      </w:r>
      <w:r>
        <w:lastRenderedPageBreak/>
        <w:t>подходы и призывали бы финансовые организации следовать им при оценке и управлении ESG-рисками.</w:t>
      </w:r>
    </w:p>
    <w:p w:rsidR="00ED3104" w:rsidRDefault="00ED3104">
      <w:pPr>
        <w:pStyle w:val="ConsPlusNormal"/>
        <w:spacing w:before="220"/>
        <w:ind w:firstLine="540"/>
        <w:jc w:val="both"/>
      </w:pPr>
      <w:r>
        <w:t>Предложенные в данной статье шаги, на которые стоит обратить внимание в первую очередь при интеграции ESG в бизнес-стратегию, систему управления рисками и корпоративное управление компании, а также подходы по учету и управлению ESG-рисками портфеля активов призваны дать концептуальное видение данного вопроса и облегчить внедрение учета ESG-факторов в деятельность финансовых организаций.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center"/>
        <w:outlineLvl w:val="0"/>
      </w:pPr>
      <w:r>
        <w:t>Литература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ind w:firstLine="540"/>
        <w:jc w:val="both"/>
      </w:pPr>
      <w:bookmarkStart w:id="4" w:name="P109"/>
      <w:bookmarkEnd w:id="4"/>
      <w:r>
        <w:t>1. Цели устойчивого развития. URL: https://ru.wikipedia.org/wiki/Цели_устойчивого_развития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5" w:name="P110"/>
      <w:bookmarkEnd w:id="5"/>
      <w:r w:rsidRPr="00ED3104">
        <w:rPr>
          <w:lang w:val="en-US"/>
        </w:rPr>
        <w:t xml:space="preserve">2. </w:t>
      </w:r>
      <w:r>
        <w:t>Стандарты</w:t>
      </w:r>
      <w:r w:rsidRPr="00ED3104">
        <w:rPr>
          <w:lang w:val="en-US"/>
        </w:rPr>
        <w:t xml:space="preserve"> </w:t>
      </w:r>
      <w:r>
        <w:t>раскрытия</w:t>
      </w:r>
      <w:r w:rsidRPr="00ED3104">
        <w:rPr>
          <w:lang w:val="en-US"/>
        </w:rPr>
        <w:t xml:space="preserve"> </w:t>
      </w:r>
      <w:r>
        <w:t>нефинансовой</w:t>
      </w:r>
      <w:r w:rsidRPr="00ED3104">
        <w:rPr>
          <w:lang w:val="en-US"/>
        </w:rPr>
        <w:t xml:space="preserve"> </w:t>
      </w:r>
      <w:r>
        <w:t>информации</w:t>
      </w:r>
      <w:r w:rsidRPr="00ED3104">
        <w:rPr>
          <w:lang w:val="en-US"/>
        </w:rPr>
        <w:t xml:space="preserve"> </w:t>
      </w:r>
      <w:r>
        <w:t>компаниями</w:t>
      </w:r>
      <w:r w:rsidRPr="00ED3104">
        <w:rPr>
          <w:lang w:val="en-US"/>
        </w:rPr>
        <w:t xml:space="preserve">, </w:t>
      </w:r>
      <w:r>
        <w:t>выпущенные</w:t>
      </w:r>
      <w:r w:rsidRPr="00ED3104">
        <w:rPr>
          <w:lang w:val="en-US"/>
        </w:rPr>
        <w:t xml:space="preserve"> Taskforce on Climate-related Financial Disclosures, Financial Stability Board. </w:t>
      </w:r>
      <w:r>
        <w:t>URL: https://www.fsb-tcfd.org/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6" w:name="P111"/>
      <w:bookmarkEnd w:id="6"/>
      <w:r>
        <w:t>3. Глобальная инициатива по отчетности. URL: https://www.globalreporting.org/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7" w:name="P112"/>
      <w:bookmarkEnd w:id="7"/>
      <w:r>
        <w:t xml:space="preserve">4.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Правительства РФ от 21.09.2021 N 1587 "Об утверждении критериев проектов устойчивого (в том числе зеленого) развития в Российской Федерации и требований к системе верификации проектов устойчивого (в том числе зеленого) развития в Российской Федерации".</w:t>
      </w:r>
    </w:p>
    <w:p w:rsidR="00ED3104" w:rsidRPr="00ED3104" w:rsidRDefault="00ED3104">
      <w:pPr>
        <w:pStyle w:val="ConsPlusNormal"/>
        <w:spacing w:before="220"/>
        <w:ind w:firstLine="540"/>
        <w:jc w:val="both"/>
        <w:rPr>
          <w:lang w:val="en-US"/>
        </w:rPr>
      </w:pPr>
      <w:bookmarkStart w:id="8" w:name="P113"/>
      <w:bookmarkEnd w:id="8"/>
      <w:r w:rsidRPr="00ED3104">
        <w:rPr>
          <w:lang w:val="en-US"/>
        </w:rPr>
        <w:t>5. International Organization for Standardization (ISO) 14064-1:2018, GHG Protocol methodology. URL: https://ghgprotocol.org/ (</w:t>
      </w:r>
      <w:r>
        <w:t>дата</w:t>
      </w:r>
      <w:r w:rsidRPr="00ED3104">
        <w:rPr>
          <w:lang w:val="en-US"/>
        </w:rPr>
        <w:t xml:space="preserve"> </w:t>
      </w:r>
      <w:r>
        <w:t>обращения</w:t>
      </w:r>
      <w:r w:rsidRPr="00ED3104">
        <w:rPr>
          <w:lang w:val="en-US"/>
        </w:rPr>
        <w:t>: 17.11.2021).</w:t>
      </w:r>
    </w:p>
    <w:p w:rsidR="00ED3104" w:rsidRPr="00ED3104" w:rsidRDefault="00ED3104">
      <w:pPr>
        <w:pStyle w:val="ConsPlusNormal"/>
        <w:spacing w:before="220"/>
        <w:ind w:firstLine="540"/>
        <w:jc w:val="both"/>
        <w:rPr>
          <w:lang w:val="en-US"/>
        </w:rPr>
      </w:pPr>
      <w:bookmarkStart w:id="9" w:name="P114"/>
      <w:bookmarkEnd w:id="9"/>
      <w:r w:rsidRPr="00ED3104">
        <w:rPr>
          <w:lang w:val="en-US"/>
        </w:rPr>
        <w:t>6. European Commission Recommendation 2013/179. URL: https://eur-lex.europa.eu/legal-content/EN/TXT/PDF/?uri=CELEX:32013H0179&amp;from=EN (</w:t>
      </w:r>
      <w:r>
        <w:t>дата</w:t>
      </w:r>
      <w:r w:rsidRPr="00ED3104">
        <w:rPr>
          <w:lang w:val="en-US"/>
        </w:rPr>
        <w:t xml:space="preserve"> </w:t>
      </w:r>
      <w:r>
        <w:t>обращения</w:t>
      </w:r>
      <w:r w:rsidRPr="00ED3104">
        <w:rPr>
          <w:lang w:val="en-US"/>
        </w:rPr>
        <w:t>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10" w:name="P115"/>
      <w:bookmarkEnd w:id="10"/>
      <w:r w:rsidRPr="00ED3104">
        <w:rPr>
          <w:lang w:val="en-US"/>
        </w:rPr>
        <w:t xml:space="preserve">7. ISO Standard for investment, financing and climate change (ISO 14097). </w:t>
      </w:r>
      <w:r>
        <w:t>URL: https://2degrees-investing.org/wp-content/uploads/2017/11/ISO14097_scoping_report.pdf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11" w:name="P116"/>
      <w:bookmarkEnd w:id="11"/>
      <w:r>
        <w:t>8. Рекомендации Банка России по учету климатических рисков в деятельности отдельных участников финансового рынка. URL: https://cbr.ru/StaticHtml/File/117540/20210817_in_015_38-64.pdf (дата обращения: 17.11.2021).</w:t>
      </w:r>
    </w:p>
    <w:p w:rsidR="00ED3104" w:rsidRDefault="00ED3104">
      <w:pPr>
        <w:pStyle w:val="ConsPlusNormal"/>
        <w:spacing w:before="220"/>
        <w:ind w:firstLine="540"/>
        <w:jc w:val="both"/>
      </w:pPr>
      <w:bookmarkStart w:id="12" w:name="P117"/>
      <w:bookmarkEnd w:id="12"/>
      <w:r>
        <w:t xml:space="preserve">9.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02.07.2021 N 296-ФЗ "Об ограничении выбросов парниковых газов".</w:t>
      </w:r>
    </w:p>
    <w:p w:rsidR="00ED3104" w:rsidRDefault="00ED3104">
      <w:pPr>
        <w:pStyle w:val="ConsPlusNormal"/>
        <w:ind w:firstLine="540"/>
        <w:jc w:val="both"/>
      </w:pPr>
    </w:p>
    <w:p w:rsidR="00ED3104" w:rsidRDefault="00ED3104">
      <w:pPr>
        <w:pStyle w:val="ConsPlusNormal"/>
        <w:jc w:val="right"/>
      </w:pPr>
      <w:r>
        <w:t>Я.В. Ченчик</w:t>
      </w:r>
    </w:p>
    <w:p w:rsidR="00ED3104" w:rsidRDefault="00ED3104">
      <w:pPr>
        <w:pStyle w:val="ConsPlusNormal"/>
        <w:jc w:val="right"/>
      </w:pPr>
      <w:r>
        <w:t>Начальник отдела</w:t>
      </w:r>
    </w:p>
    <w:p w:rsidR="00ED3104" w:rsidRDefault="00ED3104">
      <w:pPr>
        <w:pStyle w:val="ConsPlusNormal"/>
        <w:jc w:val="right"/>
      </w:pPr>
      <w:r>
        <w:t>анализа системных рисков</w:t>
      </w:r>
    </w:p>
    <w:p w:rsidR="00ED3104" w:rsidRDefault="00ED3104">
      <w:pPr>
        <w:pStyle w:val="ConsPlusNormal"/>
        <w:jc w:val="right"/>
      </w:pPr>
      <w:r>
        <w:t>и разработки макропруденциальных мер</w:t>
      </w:r>
    </w:p>
    <w:p w:rsidR="00ED3104" w:rsidRDefault="00ED3104">
      <w:pPr>
        <w:pStyle w:val="ConsPlusNormal"/>
        <w:jc w:val="right"/>
      </w:pPr>
      <w:r>
        <w:t>по корпоративному кредитованию</w:t>
      </w:r>
    </w:p>
    <w:p w:rsidR="00ED3104" w:rsidRDefault="00ED3104">
      <w:pPr>
        <w:pStyle w:val="ConsPlusNormal"/>
        <w:jc w:val="right"/>
      </w:pPr>
      <w:r>
        <w:t>управления разработки</w:t>
      </w:r>
    </w:p>
    <w:p w:rsidR="00ED3104" w:rsidRDefault="00ED3104">
      <w:pPr>
        <w:pStyle w:val="ConsPlusNormal"/>
        <w:jc w:val="right"/>
      </w:pPr>
      <w:r>
        <w:t>макропруденциальной политики</w:t>
      </w:r>
    </w:p>
    <w:p w:rsidR="00ED3104" w:rsidRDefault="00ED3104">
      <w:pPr>
        <w:pStyle w:val="ConsPlusNormal"/>
        <w:jc w:val="right"/>
      </w:pPr>
      <w:r>
        <w:t>Департамента финансовой стабильности</w:t>
      </w:r>
    </w:p>
    <w:p w:rsidR="00ED3104" w:rsidRDefault="00ED3104">
      <w:pPr>
        <w:pStyle w:val="ConsPlusNormal"/>
        <w:jc w:val="right"/>
      </w:pPr>
      <w:r>
        <w:t>Центрального банка Российской Федерации,</w:t>
      </w:r>
    </w:p>
    <w:p w:rsidR="00ED3104" w:rsidRDefault="00ED3104">
      <w:pPr>
        <w:pStyle w:val="ConsPlusNormal"/>
        <w:jc w:val="right"/>
      </w:pPr>
      <w:r>
        <w:t>дипломированный финансовый аналитик</w:t>
      </w:r>
    </w:p>
    <w:p w:rsidR="00ED3104" w:rsidRDefault="00ED3104">
      <w:pPr>
        <w:pStyle w:val="ConsPlusNormal"/>
        <w:jc w:val="right"/>
      </w:pPr>
      <w:r>
        <w:t>(CFA)</w:t>
      </w:r>
    </w:p>
    <w:p w:rsidR="00ED3104" w:rsidRDefault="00ED3104">
      <w:pPr>
        <w:pStyle w:val="ConsPlusNormal"/>
      </w:pPr>
      <w:r>
        <w:t>Подписано в печать</w:t>
      </w:r>
    </w:p>
    <w:p w:rsidR="00ED3104" w:rsidRDefault="00ED3104">
      <w:pPr>
        <w:pStyle w:val="ConsPlusNormal"/>
        <w:spacing w:before="220"/>
      </w:pPr>
      <w:r>
        <w:lastRenderedPageBreak/>
        <w:t>16.02.2022</w:t>
      </w:r>
    </w:p>
    <w:p w:rsidR="00ED3104" w:rsidRDefault="00ED3104">
      <w:pPr>
        <w:pStyle w:val="ConsPlusNormal"/>
      </w:pPr>
    </w:p>
    <w:p w:rsidR="00ED3104" w:rsidRDefault="00ED3104">
      <w:pPr>
        <w:pStyle w:val="ConsPlusNormal"/>
      </w:pPr>
    </w:p>
    <w:p w:rsidR="00ED3104" w:rsidRDefault="00ED31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5937" w:rsidRDefault="009A5937"/>
    <w:sectPr w:rsidR="009A5937" w:rsidSect="0098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04"/>
    <w:rsid w:val="009A5937"/>
    <w:rsid w:val="00CA4330"/>
    <w:rsid w:val="00E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3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31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3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31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37CA5B868DC61C93193EE5C08070899DF6AD2E2B2EFB603C627FF58F2B73A1A06E59C1537CF30B1E1CE9C2E0UFQAJ" TargetMode="External"/><Relationship Id="rId5" Type="http://schemas.openxmlformats.org/officeDocument/2006/relationships/hyperlink" Target="consultantplus://offline/ref=9937CA5B868DC61C93193EE5C08070899DF7A325222FFB603C627FF58F2B73A1A06E59C1537CF30B1E1CE9C2E0UFQ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3731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Сироткина</dc:creator>
  <cp:lastModifiedBy>Сироткина</cp:lastModifiedBy>
  <cp:revision>2</cp:revision>
  <dcterms:created xsi:type="dcterms:W3CDTF">2022-08-24T09:16:00Z</dcterms:created>
  <dcterms:modified xsi:type="dcterms:W3CDTF">2022-08-24T09:17:00Z</dcterms:modified>
</cp:coreProperties>
</file>