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96D" w:rsidRPr="00EF296D" w:rsidRDefault="00EF296D" w:rsidP="00EF296D">
      <w:pPr>
        <w:shd w:val="clear" w:color="auto" w:fill="FFFFFF"/>
        <w:spacing w:after="0" w:line="296" w:lineRule="atLeast"/>
        <w:outlineLvl w:val="0"/>
        <w:rPr>
          <w:rFonts w:ascii="Arial" w:eastAsia="Times New Roman" w:hAnsi="Arial" w:cs="Arial"/>
          <w:b/>
          <w:bCs/>
          <w:color w:val="2C2C2C"/>
          <w:kern w:val="36"/>
          <w:sz w:val="51"/>
          <w:szCs w:val="51"/>
          <w:lang w:eastAsia="ru-RU"/>
        </w:rPr>
      </w:pPr>
      <w:r w:rsidRPr="00EF296D">
        <w:rPr>
          <w:rFonts w:ascii="Arial" w:eastAsia="Times New Roman" w:hAnsi="Arial" w:cs="Arial"/>
          <w:b/>
          <w:bCs/>
          <w:color w:val="2C2C2C"/>
          <w:kern w:val="36"/>
          <w:sz w:val="51"/>
          <w:szCs w:val="51"/>
          <w:lang w:eastAsia="ru-RU"/>
        </w:rPr>
        <w:t>Центробанк обяжет публичные компании раскрывать информацию об учете ESG-факторов в их деятельности</w:t>
      </w:r>
    </w:p>
    <w:p w:rsidR="00EF296D" w:rsidRPr="00EF296D" w:rsidRDefault="00EF296D" w:rsidP="00EF2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2C"/>
          <w:sz w:val="21"/>
          <w:szCs w:val="21"/>
          <w:lang w:eastAsia="ru-RU"/>
        </w:rPr>
      </w:pPr>
      <w:hyperlink r:id="rId4" w:history="1">
        <w:r w:rsidRPr="00EF296D">
          <w:rPr>
            <w:rFonts w:ascii="Arial" w:eastAsia="Times New Roman" w:hAnsi="Arial" w:cs="Arial"/>
            <w:color w:val="336699"/>
            <w:sz w:val="24"/>
            <w:szCs w:val="24"/>
            <w:lang w:eastAsia="ru-RU"/>
          </w:rPr>
          <w:t>Юлия Кривошеева</w:t>
        </w:r>
      </w:hyperlink>
    </w:p>
    <w:p w:rsidR="00EF296D" w:rsidRPr="00EF296D" w:rsidRDefault="00EF296D" w:rsidP="00EF296D">
      <w:pPr>
        <w:shd w:val="clear" w:color="auto" w:fill="FFFFFF"/>
        <w:spacing w:line="308" w:lineRule="atLeast"/>
        <w:rPr>
          <w:rFonts w:ascii="Arial" w:eastAsia="Times New Roman" w:hAnsi="Arial" w:cs="Arial"/>
          <w:color w:val="7E8595"/>
          <w:sz w:val="21"/>
          <w:szCs w:val="21"/>
          <w:lang w:eastAsia="ru-RU"/>
        </w:rPr>
      </w:pPr>
      <w:r w:rsidRPr="00EF296D">
        <w:rPr>
          <w:rFonts w:ascii="Arial" w:eastAsia="Times New Roman" w:hAnsi="Arial" w:cs="Arial"/>
          <w:color w:val="7E8595"/>
          <w:sz w:val="21"/>
          <w:szCs w:val="21"/>
          <w:lang w:eastAsia="ru-RU"/>
        </w:rPr>
        <w:t xml:space="preserve">руководитель направления банковского контента </w:t>
      </w:r>
      <w:proofErr w:type="spellStart"/>
      <w:r w:rsidRPr="00EF296D">
        <w:rPr>
          <w:rFonts w:ascii="Arial" w:eastAsia="Times New Roman" w:hAnsi="Arial" w:cs="Arial"/>
          <w:color w:val="7E8595"/>
          <w:sz w:val="21"/>
          <w:szCs w:val="21"/>
          <w:lang w:eastAsia="ru-RU"/>
        </w:rPr>
        <w:t>Банки.ру</w:t>
      </w:r>
      <w:proofErr w:type="spellEnd"/>
    </w:p>
    <w:p w:rsidR="00EF296D" w:rsidRPr="00EF296D" w:rsidRDefault="00EF296D" w:rsidP="00EF296D">
      <w:pPr>
        <w:shd w:val="clear" w:color="auto" w:fill="FFFFFF"/>
        <w:spacing w:after="150" w:line="280" w:lineRule="atLeast"/>
        <w:rPr>
          <w:rFonts w:ascii="Arial" w:eastAsia="Times New Roman" w:hAnsi="Arial" w:cs="Arial"/>
          <w:color w:val="A4A9B5"/>
          <w:sz w:val="18"/>
          <w:szCs w:val="18"/>
          <w:lang w:eastAsia="ru-RU"/>
        </w:rPr>
      </w:pPr>
      <w:r w:rsidRPr="00EF296D">
        <w:rPr>
          <w:rFonts w:ascii="Arial" w:eastAsia="Times New Roman" w:hAnsi="Arial" w:cs="Arial"/>
          <w:color w:val="A4A9B5"/>
          <w:sz w:val="18"/>
          <w:szCs w:val="18"/>
          <w:lang w:eastAsia="ru-RU"/>
        </w:rPr>
        <w:t>28.07.2021 16:00   1551</w:t>
      </w:r>
    </w:p>
    <w:p w:rsidR="00EF296D" w:rsidRPr="00EF296D" w:rsidRDefault="00EF296D" w:rsidP="00EF2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C2C"/>
          <w:sz w:val="21"/>
          <w:szCs w:val="21"/>
          <w:lang w:eastAsia="ru-RU"/>
        </w:rPr>
      </w:pPr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 xml:space="preserve">Центробанк планирует разработать рекомендации, а в перспективе — требования по раскрытию информации об учете ESG-факторов (ESG — </w:t>
      </w:r>
      <w:proofErr w:type="spellStart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Environmental</w:t>
      </w:r>
      <w:proofErr w:type="spellEnd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 xml:space="preserve">, </w:t>
      </w:r>
      <w:proofErr w:type="spellStart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Social</w:t>
      </w:r>
      <w:proofErr w:type="spellEnd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 xml:space="preserve"> </w:t>
      </w:r>
      <w:proofErr w:type="spellStart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and</w:t>
      </w:r>
      <w:proofErr w:type="spellEnd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 xml:space="preserve"> </w:t>
      </w:r>
      <w:proofErr w:type="spellStart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Corporate</w:t>
      </w:r>
      <w:proofErr w:type="spellEnd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 xml:space="preserve"> </w:t>
      </w:r>
      <w:proofErr w:type="spellStart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Governance</w:t>
      </w:r>
      <w:proofErr w:type="spellEnd"/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, экологические, социальные факторы и факторы корпоративного управления) в деятельности компаний корпоративного сектора, сообщил первый зампред Банка России Сергей Швецов на онлайновой пресс-конференции.</w:t>
      </w:r>
    </w:p>
    <w:p w:rsidR="00EF296D" w:rsidRPr="00EF296D" w:rsidRDefault="00EF296D" w:rsidP="00EF296D">
      <w:pPr>
        <w:shd w:val="clear" w:color="auto" w:fill="FFFFFF"/>
        <w:spacing w:before="300" w:after="0" w:line="240" w:lineRule="auto"/>
        <w:rPr>
          <w:rFonts w:ascii="Arial" w:eastAsia="Times New Roman" w:hAnsi="Arial" w:cs="Arial"/>
          <w:color w:val="2C2C2C"/>
          <w:sz w:val="21"/>
          <w:szCs w:val="21"/>
          <w:lang w:eastAsia="ru-RU"/>
        </w:rPr>
      </w:pPr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«Так же, как аудит финансовой отчетности, который носит обязательный характер, верификация раскрываемой информации в части нефинансовой отчетности по ESG чрезвычайно важна инвесторам. Инвестор хочет быть убежден, что, покупая «зеленый» инструмент, инвестируя в «зеленую» компанию, он действительно инвестирует в «зеленую» компанию и этот инструмент «зеленый». Сейчас Ассоциация ответственного инвестирования PRI вместе с комитетом по стандартам международной финансовой отчетности завершает формирование документа, который будет характеризовать порядок раскрытия информации и ее верификации. Как только этот стандарт выйдет, мы тоже хотим сделать обязательными требования к публикации информации и ее верификации. На первом этапе это будут рекомендации, которые после появления международного стандарта будут транслированы в требования», — сказал Швецов.</w:t>
      </w:r>
    </w:p>
    <w:p w:rsidR="00EF296D" w:rsidRPr="00EF296D" w:rsidRDefault="00EF296D" w:rsidP="00EF296D">
      <w:pPr>
        <w:shd w:val="clear" w:color="auto" w:fill="FFFFFF"/>
        <w:spacing w:before="300" w:after="0" w:line="240" w:lineRule="auto"/>
        <w:rPr>
          <w:rFonts w:ascii="Arial" w:eastAsia="Times New Roman" w:hAnsi="Arial" w:cs="Arial"/>
          <w:color w:val="2C2C2C"/>
          <w:sz w:val="21"/>
          <w:szCs w:val="21"/>
          <w:lang w:eastAsia="ru-RU"/>
        </w:rPr>
      </w:pPr>
      <w:r w:rsidRPr="00EF296D">
        <w:rPr>
          <w:rFonts w:ascii="Arial" w:eastAsia="Times New Roman" w:hAnsi="Arial" w:cs="Arial"/>
          <w:color w:val="2C2C2C"/>
          <w:sz w:val="21"/>
          <w:szCs w:val="21"/>
          <w:lang w:eastAsia="ru-RU"/>
        </w:rPr>
        <w:t>По мнению регулятора, это обеспечит сопоставимость раскрываемых данных, возможность адекватной оценки инвесторами и контрагентами ESG-рисков на микро- и макроуровнях и выбора наилучших вариантов инвестиций.</w:t>
      </w:r>
    </w:p>
    <w:p w:rsidR="00EF296D" w:rsidRPr="00EF296D" w:rsidRDefault="00EF296D" w:rsidP="00EF296D">
      <w:pPr>
        <w:shd w:val="clear" w:color="auto" w:fill="FFFFFF"/>
        <w:spacing w:before="300" w:after="0" w:line="240" w:lineRule="auto"/>
        <w:rPr>
          <w:rFonts w:ascii="Arial" w:eastAsia="Times New Roman" w:hAnsi="Arial" w:cs="Arial"/>
          <w:color w:val="2C2C2C"/>
          <w:sz w:val="21"/>
          <w:szCs w:val="21"/>
          <w:lang w:eastAsia="ru-RU"/>
        </w:rPr>
      </w:pPr>
      <w:hyperlink r:id="rId5" w:tgtFrame="_blank" w:history="1">
        <w:r w:rsidRPr="00EF296D">
          <w:rPr>
            <w:rFonts w:ascii="Arial" w:eastAsia="Times New Roman" w:hAnsi="Arial" w:cs="Arial"/>
            <w:color w:val="336699"/>
            <w:sz w:val="21"/>
            <w:szCs w:val="21"/>
            <w:lang w:eastAsia="ru-RU"/>
          </w:rPr>
          <w:t>Юлия КРИВОШЕЕВА</w:t>
        </w:r>
      </w:hyperlink>
    </w:p>
    <w:p w:rsidR="00EF296D" w:rsidRPr="00EF296D" w:rsidRDefault="00EF296D" w:rsidP="00EF296D">
      <w:pPr>
        <w:shd w:val="clear" w:color="auto" w:fill="FFFFFF"/>
        <w:spacing w:after="0" w:line="330" w:lineRule="atLeast"/>
        <w:rPr>
          <w:rFonts w:ascii="Arial" w:eastAsia="Times New Roman" w:hAnsi="Arial" w:cs="Arial"/>
          <w:b/>
          <w:color w:val="2C2C2C"/>
          <w:sz w:val="24"/>
          <w:szCs w:val="24"/>
          <w:lang w:eastAsia="ru-RU"/>
        </w:rPr>
      </w:pPr>
      <w:r w:rsidRPr="00EF296D">
        <w:rPr>
          <w:rFonts w:ascii="Arial" w:eastAsia="Times New Roman" w:hAnsi="Arial" w:cs="Arial"/>
          <w:b/>
          <w:color w:val="2C2C2C"/>
          <w:sz w:val="24"/>
          <w:szCs w:val="24"/>
          <w:lang w:eastAsia="ru-RU"/>
        </w:rPr>
        <w:t>Источник: </w:t>
      </w:r>
      <w:hyperlink r:id="rId6" w:history="1">
        <w:r w:rsidRPr="00EF296D">
          <w:rPr>
            <w:rFonts w:ascii="Arial" w:eastAsia="Times New Roman" w:hAnsi="Arial" w:cs="Arial"/>
            <w:b/>
            <w:color w:val="336699"/>
            <w:sz w:val="24"/>
            <w:szCs w:val="24"/>
            <w:lang w:eastAsia="ru-RU"/>
          </w:rPr>
          <w:t>Banki.ru</w:t>
        </w:r>
      </w:hyperlink>
    </w:p>
    <w:p w:rsidR="00D850DC" w:rsidRDefault="00D850DC">
      <w:bookmarkStart w:id="0" w:name="_GoBack"/>
      <w:bookmarkEnd w:id="0"/>
    </w:p>
    <w:sectPr w:rsidR="00D85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6D"/>
    <w:rsid w:val="000B5443"/>
    <w:rsid w:val="00D850DC"/>
    <w:rsid w:val="00EF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CDE9-BB1E-42CB-B2BA-BC5D49F1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2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F296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F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9038">
          <w:marLeft w:val="0"/>
          <w:marRight w:val="0"/>
          <w:marTop w:val="4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673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7499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1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nki.ru/" TargetMode="External"/><Relationship Id="rId5" Type="http://schemas.openxmlformats.org/officeDocument/2006/relationships/hyperlink" Target="https://www.banki.ru/news/columnists/?author=10942917" TargetMode="External"/><Relationship Id="rId4" Type="http://schemas.openxmlformats.org/officeDocument/2006/relationships/hyperlink" Target="https://www.banki.ru/news/columnists/?author=109429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Сироткина</dc:creator>
  <cp:keywords/>
  <dc:description/>
  <cp:lastModifiedBy>Марина Сироткина</cp:lastModifiedBy>
  <cp:revision>1</cp:revision>
  <dcterms:created xsi:type="dcterms:W3CDTF">2021-11-22T11:30:00Z</dcterms:created>
  <dcterms:modified xsi:type="dcterms:W3CDTF">2021-11-22T11:31:00Z</dcterms:modified>
</cp:coreProperties>
</file>