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76" w:rsidRPr="009234E0" w:rsidRDefault="00974620" w:rsidP="0056147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186.75pt">
            <v:imagedata r:id="rId7" o:title="Новый логотип1"/>
          </v:shape>
        </w:pict>
      </w:r>
      <w:bookmarkStart w:id="0" w:name="_GoBack"/>
      <w:bookmarkEnd w:id="0"/>
    </w:p>
    <w:p w:rsidR="00561476" w:rsidRPr="009234E0" w:rsidRDefault="00561476" w:rsidP="00561476">
      <w:pPr>
        <w:jc w:val="center"/>
        <w:rPr>
          <w:b/>
          <w:sz w:val="36"/>
          <w:szCs w:val="36"/>
          <w:lang w:val="en-US"/>
        </w:rPr>
      </w:pPr>
    </w:p>
    <w:p w:rsidR="000A4DD6" w:rsidRPr="009234E0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9234E0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0A4DD6" w:rsidRPr="009234E0" w:rsidRDefault="000A4DD6" w:rsidP="00561476">
      <w:pPr>
        <w:jc w:val="center"/>
        <w:rPr>
          <w:b/>
          <w:sz w:val="36"/>
          <w:szCs w:val="36"/>
          <w:lang w:val="en-US"/>
        </w:rPr>
      </w:pPr>
    </w:p>
    <w:p w:rsidR="00561476" w:rsidRPr="009234E0" w:rsidRDefault="00561476" w:rsidP="00561476">
      <w:pPr>
        <w:tabs>
          <w:tab w:val="left" w:pos="5204"/>
        </w:tabs>
        <w:jc w:val="left"/>
        <w:rPr>
          <w:b/>
          <w:sz w:val="36"/>
          <w:szCs w:val="36"/>
        </w:rPr>
      </w:pPr>
      <w:r w:rsidRPr="009234E0">
        <w:rPr>
          <w:b/>
          <w:sz w:val="36"/>
          <w:szCs w:val="36"/>
        </w:rPr>
        <w:tab/>
      </w:r>
    </w:p>
    <w:p w:rsidR="00561476" w:rsidRPr="009234E0" w:rsidRDefault="00561476" w:rsidP="00561476">
      <w:pPr>
        <w:jc w:val="center"/>
        <w:rPr>
          <w:b/>
          <w:sz w:val="36"/>
          <w:szCs w:val="36"/>
        </w:rPr>
      </w:pPr>
    </w:p>
    <w:p w:rsidR="00561476" w:rsidRPr="009234E0" w:rsidRDefault="00561476" w:rsidP="00561476">
      <w:pPr>
        <w:jc w:val="center"/>
        <w:rPr>
          <w:b/>
          <w:sz w:val="48"/>
          <w:szCs w:val="48"/>
        </w:rPr>
      </w:pPr>
      <w:bookmarkStart w:id="1" w:name="_Toc226196784"/>
      <w:bookmarkStart w:id="2" w:name="_Toc226197203"/>
      <w:r w:rsidRPr="009234E0">
        <w:rPr>
          <w:b/>
          <w:color w:val="FF0000"/>
          <w:sz w:val="48"/>
          <w:szCs w:val="48"/>
        </w:rPr>
        <w:t>М</w:t>
      </w:r>
      <w:r w:rsidRPr="009234E0">
        <w:rPr>
          <w:b/>
          <w:sz w:val="48"/>
          <w:szCs w:val="48"/>
        </w:rPr>
        <w:t>ониторинг СМИ</w:t>
      </w:r>
      <w:bookmarkEnd w:id="1"/>
      <w:bookmarkEnd w:id="2"/>
      <w:r w:rsidRPr="009234E0">
        <w:rPr>
          <w:b/>
          <w:sz w:val="48"/>
          <w:szCs w:val="48"/>
        </w:rPr>
        <w:t xml:space="preserve"> РФ</w:t>
      </w:r>
    </w:p>
    <w:p w:rsidR="00561476" w:rsidRPr="009234E0" w:rsidRDefault="00561476" w:rsidP="00561476">
      <w:pPr>
        <w:jc w:val="center"/>
        <w:rPr>
          <w:b/>
          <w:sz w:val="48"/>
          <w:szCs w:val="48"/>
        </w:rPr>
      </w:pPr>
      <w:bookmarkStart w:id="3" w:name="_Toc226196785"/>
      <w:bookmarkStart w:id="4" w:name="_Toc226197204"/>
      <w:r w:rsidRPr="009234E0">
        <w:rPr>
          <w:b/>
          <w:sz w:val="48"/>
          <w:szCs w:val="48"/>
        </w:rPr>
        <w:t>по пенсионной тематике</w:t>
      </w:r>
      <w:bookmarkEnd w:id="3"/>
      <w:bookmarkEnd w:id="4"/>
    </w:p>
    <w:p w:rsidR="008B6D1B" w:rsidRPr="009234E0" w:rsidRDefault="006E678B" w:rsidP="00C70A20">
      <w:pPr>
        <w:jc w:val="center"/>
        <w:rPr>
          <w:b/>
          <w:sz w:val="48"/>
          <w:szCs w:val="48"/>
        </w:rPr>
      </w:pPr>
      <w:r>
        <w:rPr>
          <w:b/>
          <w:noProof/>
          <w:sz w:val="36"/>
          <w:szCs w:val="36"/>
        </w:rPr>
        <w:pict>
          <v:oval id="_x0000_s1039" style="position:absolute;left:0;text-align:left;margin-left:212.7pt;margin-top:13.1pt;width:28.5pt;height:25.5pt;z-index:1" fillcolor="#c0504d" strokecolor="#f2f2f2" strokeweight="3pt">
            <v:shadow on="t" type="perspective" color="#622423" opacity=".5" offset="1pt" offset2="-1pt"/>
          </v:oval>
        </w:pict>
      </w:r>
    </w:p>
    <w:p w:rsidR="007D6FE5" w:rsidRPr="009234E0" w:rsidRDefault="007D6FE5" w:rsidP="00C70A20">
      <w:pPr>
        <w:jc w:val="center"/>
        <w:rPr>
          <w:b/>
          <w:sz w:val="36"/>
          <w:szCs w:val="36"/>
        </w:rPr>
      </w:pPr>
      <w:r w:rsidRPr="009234E0">
        <w:rPr>
          <w:b/>
          <w:sz w:val="36"/>
          <w:szCs w:val="36"/>
        </w:rPr>
        <w:t xml:space="preserve"> </w:t>
      </w:r>
    </w:p>
    <w:p w:rsidR="00C70A20" w:rsidRPr="009234E0" w:rsidRDefault="00CF2AD0" w:rsidP="00C70A20">
      <w:pPr>
        <w:jc w:val="center"/>
        <w:rPr>
          <w:b/>
          <w:sz w:val="40"/>
          <w:szCs w:val="40"/>
        </w:rPr>
      </w:pPr>
      <w:r w:rsidRPr="009234E0">
        <w:rPr>
          <w:b/>
          <w:sz w:val="40"/>
          <w:szCs w:val="40"/>
          <w:lang w:val="en-US"/>
        </w:rPr>
        <w:t>11</w:t>
      </w:r>
      <w:r w:rsidR="00CB6B64" w:rsidRPr="009234E0">
        <w:rPr>
          <w:b/>
          <w:sz w:val="40"/>
          <w:szCs w:val="40"/>
        </w:rPr>
        <w:t>.</w:t>
      </w:r>
      <w:r w:rsidR="00CB1BAC" w:rsidRPr="009234E0">
        <w:rPr>
          <w:b/>
          <w:sz w:val="40"/>
          <w:szCs w:val="40"/>
          <w:lang w:val="en-US"/>
        </w:rPr>
        <w:t>10</w:t>
      </w:r>
      <w:r w:rsidR="000214CF" w:rsidRPr="009234E0">
        <w:rPr>
          <w:b/>
          <w:sz w:val="40"/>
          <w:szCs w:val="40"/>
        </w:rPr>
        <w:t>.</w:t>
      </w:r>
      <w:r w:rsidR="007D6FE5" w:rsidRPr="009234E0">
        <w:rPr>
          <w:b/>
          <w:sz w:val="40"/>
          <w:szCs w:val="40"/>
        </w:rPr>
        <w:t>20</w:t>
      </w:r>
      <w:r w:rsidR="00EB57E7" w:rsidRPr="009234E0">
        <w:rPr>
          <w:b/>
          <w:sz w:val="40"/>
          <w:szCs w:val="40"/>
        </w:rPr>
        <w:t>2</w:t>
      </w:r>
      <w:r w:rsidR="00A25E59" w:rsidRPr="009234E0">
        <w:rPr>
          <w:b/>
          <w:sz w:val="40"/>
          <w:szCs w:val="40"/>
        </w:rPr>
        <w:t>3</w:t>
      </w:r>
      <w:r w:rsidR="00C70A20" w:rsidRPr="009234E0">
        <w:rPr>
          <w:b/>
          <w:sz w:val="40"/>
          <w:szCs w:val="40"/>
        </w:rPr>
        <w:t xml:space="preserve"> г</w:t>
      </w:r>
      <w:r w:rsidR="007D6FE5" w:rsidRPr="009234E0">
        <w:rPr>
          <w:b/>
          <w:sz w:val="40"/>
          <w:szCs w:val="40"/>
        </w:rPr>
        <w:t>.</w:t>
      </w:r>
    </w:p>
    <w:p w:rsidR="007D6FE5" w:rsidRPr="009234E0" w:rsidRDefault="007D6FE5" w:rsidP="000C1A46">
      <w:pPr>
        <w:jc w:val="center"/>
        <w:rPr>
          <w:b/>
          <w:sz w:val="40"/>
          <w:szCs w:val="40"/>
        </w:rPr>
      </w:pPr>
    </w:p>
    <w:p w:rsidR="00C16C6D" w:rsidRPr="009234E0" w:rsidRDefault="00C16C6D" w:rsidP="000C1A46">
      <w:pPr>
        <w:jc w:val="center"/>
        <w:rPr>
          <w:b/>
          <w:sz w:val="40"/>
          <w:szCs w:val="40"/>
        </w:rPr>
      </w:pPr>
    </w:p>
    <w:p w:rsidR="00C70A20" w:rsidRPr="009234E0" w:rsidRDefault="00C70A20" w:rsidP="000C1A46">
      <w:pPr>
        <w:jc w:val="center"/>
        <w:rPr>
          <w:b/>
          <w:sz w:val="40"/>
          <w:szCs w:val="40"/>
        </w:rPr>
      </w:pPr>
    </w:p>
    <w:p w:rsidR="00C70A20" w:rsidRPr="009234E0" w:rsidRDefault="006E678B" w:rsidP="000C1A46">
      <w:pPr>
        <w:jc w:val="center"/>
        <w:rPr>
          <w:b/>
          <w:sz w:val="40"/>
          <w:szCs w:val="40"/>
        </w:rPr>
      </w:pPr>
      <w:hyperlink r:id="rId8" w:history="1">
        <w:r w:rsidR="00977247" w:rsidRPr="009234E0">
          <w:fldChar w:fldCharType="begin"/>
        </w:r>
        <w:r w:rsidR="00977247" w:rsidRPr="009234E0">
    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    </w:r>
        <w:r w:rsidR="00977247" w:rsidRPr="009234E0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"https://apf.mail.ru/cgi-bin/readmsg/%D0%9B%D0%BE%D0%B3%D0%BE%D1%82%D0%B8%D0%BF.PNG?id=14089677830000000986;0;1&amp;x-email=natulek_8@mail.ru&amp;exif=1&amp;bs=4924&amp;bl=52781&amp;ct=image/png&amp;cn=%D0%9B%D0%BE%D0%B3%D0%BE%D1%82%D0%B8%D0%BF.PN</w:instrText>
        </w:r>
        <w:r>
          <w:instrText>G&amp;cte=base64" \* MERGEFORMATINET</w:instrText>
        </w:r>
        <w:r>
          <w:instrText xml:space="preserve"> </w:instrText>
        </w:r>
        <w:r>
          <w:fldChar w:fldCharType="separate"/>
        </w:r>
        <w:r w:rsidR="00974620">
          <w:pict>
            <v:shape id="_x0000_i1026" type="#_x0000_t75" style="width:129pt;height:57pt">
              <v:imagedata r:id="rId9" r:href="rId10"/>
            </v:shape>
          </w:pict>
        </w:r>
        <w:r>
          <w:fldChar w:fldCharType="end"/>
        </w:r>
        <w:r w:rsidR="00977247" w:rsidRPr="009234E0">
          <w:fldChar w:fldCharType="end"/>
        </w:r>
      </w:hyperlink>
    </w:p>
    <w:p w:rsidR="009D66A1" w:rsidRPr="009234E0" w:rsidRDefault="009B23FE" w:rsidP="009B23FE">
      <w:pPr>
        <w:pStyle w:val="10"/>
        <w:jc w:val="center"/>
      </w:pPr>
      <w:r w:rsidRPr="009234E0">
        <w:br w:type="page"/>
      </w:r>
      <w:bookmarkStart w:id="5" w:name="_Toc396864626"/>
      <w:bookmarkStart w:id="6" w:name="_Toc147905642"/>
      <w:r w:rsidR="00676D5F" w:rsidRPr="009234E0">
        <w:rPr>
          <w:color w:val="984806"/>
        </w:rPr>
        <w:lastRenderedPageBreak/>
        <w:t>Т</w:t>
      </w:r>
      <w:r w:rsidR="009D66A1" w:rsidRPr="009234E0">
        <w:t>емы</w:t>
      </w:r>
      <w:r w:rsidR="009D66A1" w:rsidRPr="009234E0">
        <w:rPr>
          <w:rFonts w:ascii="Arial Rounded MT Bold" w:hAnsi="Arial Rounded MT Bold"/>
        </w:rPr>
        <w:t xml:space="preserve"> </w:t>
      </w:r>
      <w:r w:rsidR="009D66A1" w:rsidRPr="009234E0">
        <w:t>дня</w:t>
      </w:r>
      <w:bookmarkEnd w:id="5"/>
      <w:bookmarkEnd w:id="6"/>
    </w:p>
    <w:p w:rsidR="00AB507E" w:rsidRPr="009234E0" w:rsidRDefault="00974620" w:rsidP="00676D5F">
      <w:pPr>
        <w:numPr>
          <w:ilvl w:val="0"/>
          <w:numId w:val="25"/>
        </w:numPr>
        <w:rPr>
          <w:i/>
        </w:rPr>
      </w:pPr>
      <w:r w:rsidRPr="009234E0">
        <w:rPr>
          <w:i/>
        </w:rPr>
        <w:t xml:space="preserve"> </w:t>
      </w:r>
      <w:r w:rsidR="00E635F7" w:rsidRPr="009234E0">
        <w:rPr>
          <w:i/>
        </w:rPr>
        <w:t>«</w:t>
      </w:r>
      <w:r w:rsidR="00AB507E" w:rsidRPr="009234E0">
        <w:rPr>
          <w:i/>
        </w:rPr>
        <w:t>НПФ ГАЗФОНД пенсионные накопления</w:t>
      </w:r>
      <w:r w:rsidR="00E635F7" w:rsidRPr="009234E0">
        <w:rPr>
          <w:i/>
        </w:rPr>
        <w:t>»</w:t>
      </w:r>
      <w:r w:rsidR="00AB507E" w:rsidRPr="009234E0">
        <w:rPr>
          <w:i/>
        </w:rPr>
        <w:t xml:space="preserve"> опубликовал информацию о структурах инвестиционных портфелей пенсионных накоплений и пенсионных резервов с указанием долей, приходящихся на виды активов, перечисленные в пункте 1 статьи 24.1 Федерального закона </w:t>
      </w:r>
      <w:r w:rsidR="00E635F7" w:rsidRPr="009234E0">
        <w:rPr>
          <w:i/>
        </w:rPr>
        <w:t>«</w:t>
      </w:r>
      <w:r w:rsidR="00AB507E" w:rsidRPr="009234E0">
        <w:rPr>
          <w:i/>
        </w:rPr>
        <w:t>О негосударственных пенсионных фондах</w:t>
      </w:r>
      <w:r w:rsidR="00E635F7" w:rsidRPr="009234E0">
        <w:rPr>
          <w:i/>
        </w:rPr>
        <w:t>»</w:t>
      </w:r>
      <w:r w:rsidR="00AB507E" w:rsidRPr="009234E0">
        <w:rPr>
          <w:i/>
        </w:rPr>
        <w:t xml:space="preserve"> (определенные в соответствии со статьей 25 Федерального закона </w:t>
      </w:r>
      <w:r w:rsidR="00E635F7" w:rsidRPr="009234E0">
        <w:rPr>
          <w:i/>
        </w:rPr>
        <w:t>«</w:t>
      </w:r>
      <w:r w:rsidR="00AB507E" w:rsidRPr="009234E0">
        <w:rPr>
          <w:i/>
        </w:rPr>
        <w:t>О негосударственных пенсионных фондах</w:t>
      </w:r>
      <w:r w:rsidR="00E635F7" w:rsidRPr="009234E0">
        <w:rPr>
          <w:i/>
        </w:rPr>
        <w:t>»</w:t>
      </w:r>
      <w:r w:rsidR="00AB507E" w:rsidRPr="009234E0">
        <w:rPr>
          <w:i/>
        </w:rPr>
        <w:t xml:space="preserve">) по состоянию на 30 сентября 2023 г. согласно требованиям Центрального Банка Российской Федерации, </w:t>
      </w:r>
      <w:hyperlink w:anchor="А102" w:history="1">
        <w:r w:rsidR="00AB507E" w:rsidRPr="009234E0">
          <w:rPr>
            <w:rStyle w:val="a3"/>
            <w:i/>
          </w:rPr>
          <w:t xml:space="preserve">сообщает </w:t>
        </w:r>
        <w:r w:rsidR="00E635F7" w:rsidRPr="009234E0">
          <w:rPr>
            <w:rStyle w:val="a3"/>
            <w:i/>
          </w:rPr>
          <w:t>«</w:t>
        </w:r>
        <w:r w:rsidR="00AB507E" w:rsidRPr="009234E0">
          <w:rPr>
            <w:rStyle w:val="a3"/>
            <w:i/>
          </w:rPr>
          <w:t>Ваш Пенсионный Брокер</w:t>
        </w:r>
        <w:r w:rsidR="00E635F7" w:rsidRPr="009234E0">
          <w:rPr>
            <w:rStyle w:val="a3"/>
            <w:i/>
          </w:rPr>
          <w:t>»</w:t>
        </w:r>
      </w:hyperlink>
    </w:p>
    <w:p w:rsidR="004A3264" w:rsidRPr="009234E0" w:rsidRDefault="004A3264" w:rsidP="00676D5F">
      <w:pPr>
        <w:numPr>
          <w:ilvl w:val="0"/>
          <w:numId w:val="25"/>
        </w:numPr>
        <w:rPr>
          <w:i/>
        </w:rPr>
      </w:pPr>
      <w:r w:rsidRPr="009234E0">
        <w:rPr>
          <w:i/>
        </w:rPr>
        <w:t xml:space="preserve">Вчера в Общественной палате (ОП) РФ обсудили стратегию демографической безопасности страны в рамках выполнения профильного указа президента Владимира Путина, утвердившего госполитику по сохранению и укреплению традиционных российских духовно-нравственных ценностей. Низкие цифры рождаемости и увеличение числа абортов заставили собравшихся искать нестандартные решения, </w:t>
      </w:r>
      <w:hyperlink w:anchor="А103" w:history="1">
        <w:r w:rsidRPr="009234E0">
          <w:rPr>
            <w:rStyle w:val="a3"/>
            <w:i/>
          </w:rPr>
          <w:t xml:space="preserve">пишет </w:t>
        </w:r>
        <w:r w:rsidR="00E635F7" w:rsidRPr="009234E0">
          <w:rPr>
            <w:rStyle w:val="a3"/>
            <w:i/>
          </w:rPr>
          <w:t>«</w:t>
        </w:r>
        <w:r w:rsidRPr="009234E0">
          <w:rPr>
            <w:rStyle w:val="a3"/>
            <w:i/>
          </w:rPr>
          <w:t>Коммерсантъ</w:t>
        </w:r>
        <w:r w:rsidR="00E635F7" w:rsidRPr="009234E0">
          <w:rPr>
            <w:rStyle w:val="a3"/>
            <w:i/>
          </w:rPr>
          <w:t>»</w:t>
        </w:r>
      </w:hyperlink>
    </w:p>
    <w:p w:rsidR="00AB507E" w:rsidRPr="009234E0" w:rsidRDefault="00AB507E" w:rsidP="00676D5F">
      <w:pPr>
        <w:numPr>
          <w:ilvl w:val="0"/>
          <w:numId w:val="25"/>
        </w:numPr>
        <w:rPr>
          <w:i/>
        </w:rPr>
      </w:pPr>
      <w:r w:rsidRPr="009234E0">
        <w:rPr>
          <w:i/>
        </w:rPr>
        <w:t xml:space="preserve">Размер пенсий нужно повысить до сорока процентов утраченного после выхода на заслуженный отдых заработка, как это закреплено </w:t>
      </w:r>
      <w:r w:rsidR="00E635F7" w:rsidRPr="009234E0">
        <w:rPr>
          <w:i/>
        </w:rPr>
        <w:t>«</w:t>
      </w:r>
      <w:r w:rsidRPr="009234E0">
        <w:rPr>
          <w:i/>
        </w:rPr>
        <w:t>Стратегией долгосрочного развития пенсионной системы Российской Федерации</w:t>
      </w:r>
      <w:r w:rsidR="00E635F7" w:rsidRPr="009234E0">
        <w:rPr>
          <w:i/>
        </w:rPr>
        <w:t>»</w:t>
      </w:r>
      <w:r w:rsidRPr="009234E0">
        <w:rPr>
          <w:i/>
        </w:rPr>
        <w:t xml:space="preserve"> и Конвенцией № 102 Международной организации труда. Так считает доктор экономических наук, профессор, главный научный сотрудник Института демографических исследований Федерального научно-исследовательского социологического центра РАН Алексей Кашепов. </w:t>
      </w:r>
      <w:hyperlink w:anchor="А104" w:history="1">
        <w:r w:rsidR="00E635F7" w:rsidRPr="009234E0">
          <w:rPr>
            <w:rStyle w:val="a3"/>
            <w:i/>
          </w:rPr>
          <w:t>«</w:t>
        </w:r>
        <w:r w:rsidRPr="009234E0">
          <w:rPr>
            <w:rStyle w:val="a3"/>
            <w:i/>
          </w:rPr>
          <w:t>Парламентская газета</w:t>
        </w:r>
        <w:r w:rsidR="00E635F7" w:rsidRPr="009234E0">
          <w:rPr>
            <w:rStyle w:val="a3"/>
            <w:i/>
          </w:rPr>
          <w:t>»</w:t>
        </w:r>
        <w:r w:rsidRPr="009234E0">
          <w:rPr>
            <w:rStyle w:val="a3"/>
            <w:i/>
          </w:rPr>
          <w:t xml:space="preserve"> изучила</w:t>
        </w:r>
      </w:hyperlink>
      <w:r w:rsidRPr="009234E0">
        <w:rPr>
          <w:i/>
        </w:rPr>
        <w:t xml:space="preserve"> его материал в последнем номере журнала </w:t>
      </w:r>
      <w:r w:rsidR="00E635F7" w:rsidRPr="009234E0">
        <w:rPr>
          <w:i/>
        </w:rPr>
        <w:t>«</w:t>
      </w:r>
      <w:r w:rsidRPr="009234E0">
        <w:rPr>
          <w:i/>
        </w:rPr>
        <w:t>Социально-трудовые исследования</w:t>
      </w:r>
      <w:r w:rsidR="00E635F7" w:rsidRPr="009234E0">
        <w:rPr>
          <w:i/>
        </w:rPr>
        <w:t>»</w:t>
      </w:r>
      <w:r w:rsidRPr="009234E0">
        <w:rPr>
          <w:i/>
        </w:rPr>
        <w:t xml:space="preserve"> ВНИИ труда, посвященный предварительным результатам пенсионной реформы</w:t>
      </w:r>
    </w:p>
    <w:p w:rsidR="00AB507E" w:rsidRPr="009234E0" w:rsidRDefault="00AB507E" w:rsidP="00676D5F">
      <w:pPr>
        <w:numPr>
          <w:ilvl w:val="0"/>
          <w:numId w:val="25"/>
        </w:numPr>
        <w:rPr>
          <w:i/>
        </w:rPr>
      </w:pPr>
      <w:r w:rsidRPr="009234E0">
        <w:rPr>
          <w:i/>
        </w:rPr>
        <w:t>Первый заместитель председателя Комитета Государственной Думы по экономической политике Надежда Школкина (</w:t>
      </w:r>
      <w:r w:rsidR="00E635F7" w:rsidRPr="009234E0">
        <w:rPr>
          <w:i/>
        </w:rPr>
        <w:t>«</w:t>
      </w:r>
      <w:r w:rsidRPr="009234E0">
        <w:rPr>
          <w:i/>
        </w:rPr>
        <w:t>Единая Россия</w:t>
      </w:r>
      <w:r w:rsidR="00E635F7" w:rsidRPr="009234E0">
        <w:rPr>
          <w:i/>
        </w:rPr>
        <w:t>»</w:t>
      </w:r>
      <w:r w:rsidRPr="009234E0">
        <w:rPr>
          <w:i/>
        </w:rPr>
        <w:t xml:space="preserve">) разработала законопроект, направленный на повышение мер соцподдержки граждан, являющихся опекунами (попечителями) нетрудоспособных лиц. Документ внесут в Госдуму 10 октября, сообщили в пресс-службе депутата, </w:t>
      </w:r>
      <w:hyperlink w:anchor="А105" w:history="1">
        <w:r w:rsidRPr="009234E0">
          <w:rPr>
            <w:rStyle w:val="a3"/>
            <w:i/>
          </w:rPr>
          <w:t xml:space="preserve">передает </w:t>
        </w:r>
        <w:r w:rsidR="00E635F7" w:rsidRPr="009234E0">
          <w:rPr>
            <w:rStyle w:val="a3"/>
            <w:i/>
          </w:rPr>
          <w:t>«</w:t>
        </w:r>
        <w:r w:rsidRPr="009234E0">
          <w:rPr>
            <w:rStyle w:val="a3"/>
            <w:i/>
          </w:rPr>
          <w:t>Парламентская газета</w:t>
        </w:r>
        <w:r w:rsidR="00E635F7" w:rsidRPr="009234E0">
          <w:rPr>
            <w:rStyle w:val="a3"/>
            <w:i/>
          </w:rPr>
          <w:t>»</w:t>
        </w:r>
      </w:hyperlink>
    </w:p>
    <w:p w:rsidR="00AB507E" w:rsidRPr="009234E0" w:rsidRDefault="00E635F7" w:rsidP="00676D5F">
      <w:pPr>
        <w:numPr>
          <w:ilvl w:val="0"/>
          <w:numId w:val="25"/>
        </w:numPr>
        <w:rPr>
          <w:i/>
        </w:rPr>
      </w:pPr>
      <w:r w:rsidRPr="009234E0">
        <w:rPr>
          <w:i/>
        </w:rPr>
        <w:t>Общие доходы Социального фонда России на 2024 год могут составить более 16 трлн рублей. По сравнению с 2023 годом показатель увеличится на 16%, сообщил председатель фонда Сергей Чирков. Расходы бюджета фонда определены на 2024 год в объеме 16,2 трлн рублей - это на 2,7 трлн рублей (на 20%) больше, чем в 2023 году</w:t>
      </w:r>
      <w:r w:rsidR="00CE5D3A" w:rsidRPr="009234E0">
        <w:rPr>
          <w:i/>
        </w:rPr>
        <w:t xml:space="preserve">, </w:t>
      </w:r>
      <w:hyperlink w:anchor="А106" w:history="1">
        <w:r w:rsidR="00CE5D3A" w:rsidRPr="009234E0">
          <w:rPr>
            <w:rStyle w:val="a3"/>
            <w:i/>
          </w:rPr>
          <w:t xml:space="preserve">сообщает </w:t>
        </w:r>
        <w:r w:rsidRPr="009234E0">
          <w:rPr>
            <w:rStyle w:val="a3"/>
            <w:i/>
          </w:rPr>
          <w:t>ТАСС</w:t>
        </w:r>
      </w:hyperlink>
    </w:p>
    <w:p w:rsidR="00CE5D3A" w:rsidRPr="009234E0" w:rsidRDefault="00CE5D3A" w:rsidP="00676D5F">
      <w:pPr>
        <w:numPr>
          <w:ilvl w:val="0"/>
          <w:numId w:val="25"/>
        </w:numPr>
        <w:rPr>
          <w:i/>
        </w:rPr>
      </w:pPr>
      <w:r w:rsidRPr="009234E0">
        <w:rPr>
          <w:i/>
        </w:rPr>
        <w:t xml:space="preserve">Средняя пенсия в следующем году составит чуть больше 23,2 тыс. руб. в месяц. Об этом сообщает официальный телеграм-канал российского Минфина. В следующем году, согласно сообщению, пенсии будут проиндексированы на прогнозируемый в текущем году уровень инфляции, это 7,5%, и средний размер такой пенсии составит 23 244 руб. Общий объем расходов на индексацию пенсии в 2024-м составит около 600 млрд руб., </w:t>
      </w:r>
      <w:hyperlink w:anchor="А107" w:history="1">
        <w:r w:rsidRPr="009234E0">
          <w:rPr>
            <w:rStyle w:val="a3"/>
            <w:i/>
          </w:rPr>
          <w:t xml:space="preserve">по данным </w:t>
        </w:r>
        <w:r w:rsidR="00E635F7" w:rsidRPr="009234E0">
          <w:rPr>
            <w:rStyle w:val="a3"/>
            <w:i/>
          </w:rPr>
          <w:t>«</w:t>
        </w:r>
        <w:r w:rsidRPr="009234E0">
          <w:rPr>
            <w:rStyle w:val="a3"/>
            <w:i/>
          </w:rPr>
          <w:t>Конкурента</w:t>
        </w:r>
        <w:r w:rsidR="00E635F7" w:rsidRPr="009234E0">
          <w:rPr>
            <w:rStyle w:val="a3"/>
            <w:i/>
          </w:rPr>
          <w:t>»</w:t>
        </w:r>
      </w:hyperlink>
    </w:p>
    <w:p w:rsidR="00660B65" w:rsidRPr="009234E0" w:rsidRDefault="00660B65" w:rsidP="00676D5F">
      <w:pPr>
        <w:jc w:val="center"/>
        <w:rPr>
          <w:rFonts w:ascii="Arial" w:hAnsi="Arial" w:cs="Arial"/>
          <w:b/>
          <w:sz w:val="32"/>
          <w:szCs w:val="32"/>
        </w:rPr>
      </w:pPr>
      <w:r w:rsidRPr="009234E0">
        <w:rPr>
          <w:rFonts w:ascii="Arial" w:hAnsi="Arial" w:cs="Arial"/>
          <w:b/>
          <w:color w:val="984806"/>
          <w:sz w:val="32"/>
          <w:szCs w:val="32"/>
        </w:rPr>
        <w:lastRenderedPageBreak/>
        <w:t>Ц</w:t>
      </w:r>
      <w:r w:rsidRPr="009234E0">
        <w:rPr>
          <w:rFonts w:ascii="Arial" w:hAnsi="Arial" w:cs="Arial"/>
          <w:b/>
          <w:sz w:val="32"/>
          <w:szCs w:val="32"/>
        </w:rPr>
        <w:t>итаты дня</w:t>
      </w:r>
    </w:p>
    <w:p w:rsidR="00676D5F" w:rsidRPr="009234E0" w:rsidRDefault="00CE5D3A" w:rsidP="003B3BAA">
      <w:pPr>
        <w:numPr>
          <w:ilvl w:val="0"/>
          <w:numId w:val="27"/>
        </w:numPr>
        <w:rPr>
          <w:i/>
        </w:rPr>
      </w:pPr>
      <w:r w:rsidRPr="009234E0">
        <w:rPr>
          <w:i/>
        </w:rPr>
        <w:t xml:space="preserve">Алексей Кашепов, главный научный сотрудник Института демографических исследований Федерального научно-исследовательского социологического центра РАН: </w:t>
      </w:r>
      <w:r w:rsidR="00E635F7" w:rsidRPr="009234E0">
        <w:rPr>
          <w:i/>
        </w:rPr>
        <w:t>«</w:t>
      </w:r>
      <w:r w:rsidR="00AB507E" w:rsidRPr="009234E0">
        <w:rPr>
          <w:i/>
        </w:rPr>
        <w:t>Размер пенсии в реальном исчислении после 2018 года преодолел тенденцию сокращения, которое в 2015-2016 годах было вызвано первой волной санкционного кризиса, тем не менее по сравнению с прожиточным минимумом пенсионера и со средней заработной платой его рост совершенно недостаточен</w:t>
      </w:r>
      <w:r w:rsidR="00E635F7" w:rsidRPr="009234E0">
        <w:rPr>
          <w:i/>
        </w:rPr>
        <w:t>»</w:t>
      </w:r>
    </w:p>
    <w:p w:rsidR="004A3264" w:rsidRPr="009234E0" w:rsidRDefault="004A3264" w:rsidP="003B3BAA">
      <w:pPr>
        <w:numPr>
          <w:ilvl w:val="0"/>
          <w:numId w:val="27"/>
        </w:numPr>
        <w:rPr>
          <w:i/>
        </w:rPr>
      </w:pPr>
      <w:r w:rsidRPr="009234E0">
        <w:rPr>
          <w:i/>
        </w:rPr>
        <w:t xml:space="preserve">Наталья Карпович, руководитель региональной общественной организации </w:t>
      </w:r>
      <w:r w:rsidR="00E635F7" w:rsidRPr="009234E0">
        <w:rPr>
          <w:i/>
        </w:rPr>
        <w:t>«</w:t>
      </w:r>
      <w:r w:rsidRPr="009234E0">
        <w:rPr>
          <w:i/>
        </w:rPr>
        <w:t>Объединение многодетных семей города Москвы</w:t>
      </w:r>
      <w:r w:rsidR="00E635F7" w:rsidRPr="009234E0">
        <w:rPr>
          <w:i/>
        </w:rPr>
        <w:t>»</w:t>
      </w:r>
      <w:r w:rsidRPr="009234E0">
        <w:rPr>
          <w:i/>
        </w:rPr>
        <w:t xml:space="preserve">: </w:t>
      </w:r>
      <w:r w:rsidR="00E635F7" w:rsidRPr="009234E0">
        <w:rPr>
          <w:i/>
        </w:rPr>
        <w:t>«</w:t>
      </w:r>
      <w:r w:rsidRPr="009234E0">
        <w:rPr>
          <w:i/>
        </w:rPr>
        <w:t>Единственная категория, которая не снизила рождаемость,— многодетные семьи. Стимулировать нужно большую семью. Нужно ввести федеральное пособие на каждого ребенка, как это было. У меня шесть детей своих и один приемный. Я не понимаю, почему по своим детям я ничего не получаю, а за приемного ребенка я получаю. И при этом, к сожалению, как были 700 тыс. детей сиротами, так и остаются сиротами — эта проблема не решается. Мы говорим, что мы закрыли международное усыновление, а что происходит внутри страны?</w:t>
      </w:r>
      <w:r w:rsidR="00E635F7" w:rsidRPr="009234E0">
        <w:rPr>
          <w:i/>
        </w:rPr>
        <w:t>»</w:t>
      </w:r>
    </w:p>
    <w:p w:rsidR="00A0290C" w:rsidRPr="009234E0" w:rsidRDefault="00A0290C" w:rsidP="009D66A1">
      <w:pPr>
        <w:pStyle w:val="a9"/>
        <w:rPr>
          <w:u w:val="single"/>
        </w:rPr>
      </w:pPr>
      <w:bookmarkStart w:id="7" w:name="_Toc246216357"/>
      <w:bookmarkStart w:id="8" w:name="_Toc246297404"/>
      <w:bookmarkStart w:id="9" w:name="_Toc246216257"/>
      <w:bookmarkStart w:id="10" w:name="_Toc226038294"/>
      <w:bookmarkStart w:id="11" w:name="_Toc245698447"/>
      <w:bookmarkStart w:id="12" w:name="_Toc245783070"/>
      <w:bookmarkStart w:id="13" w:name="_Toc245869107"/>
      <w:bookmarkStart w:id="14" w:name="_Toc246129443"/>
      <w:r w:rsidRPr="009234E0">
        <w:rPr>
          <w:u w:val="single"/>
        </w:rPr>
        <w:lastRenderedPageBreak/>
        <w:t>ОГЛАВЛЕНИЕ</w:t>
      </w:r>
    </w:p>
    <w:p w:rsidR="00974620" w:rsidRPr="006E678B" w:rsidRDefault="000E0F94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r w:rsidRPr="009234E0">
        <w:rPr>
          <w:caps/>
        </w:rPr>
        <w:fldChar w:fldCharType="begin"/>
      </w:r>
      <w:r w:rsidR="00310633" w:rsidRPr="009234E0">
        <w:rPr>
          <w:caps/>
        </w:rPr>
        <w:instrText xml:space="preserve"> TOC \o "1-5" \h \z \u </w:instrText>
      </w:r>
      <w:r w:rsidRPr="009234E0">
        <w:rPr>
          <w:caps/>
        </w:rPr>
        <w:fldChar w:fldCharType="separate"/>
      </w:r>
      <w:hyperlink w:anchor="_Toc147905642" w:history="1">
        <w:r w:rsidR="00974620" w:rsidRPr="00C179CC">
          <w:rPr>
            <w:rStyle w:val="a3"/>
            <w:noProof/>
          </w:rPr>
          <w:t>Темы</w:t>
        </w:r>
        <w:r w:rsidR="00974620" w:rsidRPr="00C179CC">
          <w:rPr>
            <w:rStyle w:val="a3"/>
            <w:rFonts w:ascii="Arial Rounded MT Bold" w:hAnsi="Arial Rounded MT Bold"/>
            <w:noProof/>
          </w:rPr>
          <w:t xml:space="preserve"> </w:t>
        </w:r>
        <w:r w:rsidR="00974620" w:rsidRPr="00C179CC">
          <w:rPr>
            <w:rStyle w:val="a3"/>
            <w:noProof/>
          </w:rPr>
          <w:t>дня</w:t>
        </w:r>
        <w:r w:rsidR="00974620">
          <w:rPr>
            <w:noProof/>
            <w:webHidden/>
          </w:rPr>
          <w:tab/>
        </w:r>
        <w:r w:rsidR="00974620">
          <w:rPr>
            <w:noProof/>
            <w:webHidden/>
          </w:rPr>
          <w:fldChar w:fldCharType="begin"/>
        </w:r>
        <w:r w:rsidR="00974620">
          <w:rPr>
            <w:noProof/>
            <w:webHidden/>
          </w:rPr>
          <w:instrText xml:space="preserve"> PAGEREF _Toc147905642 \h </w:instrText>
        </w:r>
        <w:r w:rsidR="00974620">
          <w:rPr>
            <w:noProof/>
            <w:webHidden/>
          </w:rPr>
        </w:r>
        <w:r w:rsidR="00974620">
          <w:rPr>
            <w:noProof/>
            <w:webHidden/>
          </w:rPr>
          <w:fldChar w:fldCharType="separate"/>
        </w:r>
        <w:r w:rsidR="00974620">
          <w:rPr>
            <w:noProof/>
            <w:webHidden/>
          </w:rPr>
          <w:t>2</w:t>
        </w:r>
        <w:r w:rsidR="00974620"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7905643" w:history="1">
        <w:r w:rsidRPr="00C179CC">
          <w:rPr>
            <w:rStyle w:val="a3"/>
            <w:noProof/>
          </w:rPr>
          <w:t>НОВОСТИ ПЕНСИОННОЙ ОТРАСЛИ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7905644" w:history="1">
        <w:r w:rsidRPr="00C179CC">
          <w:rPr>
            <w:rStyle w:val="a3"/>
            <w:noProof/>
          </w:rPr>
          <w:t>Новости отрасли НПФ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645" w:history="1">
        <w:r w:rsidRPr="00C179CC">
          <w:rPr>
            <w:rStyle w:val="a3"/>
            <w:noProof/>
          </w:rPr>
          <w:t>Тинькофф Журнал, 09.10.2023, Николай ВАЛЮХ, Игорь ЖУЛЬКИН, Какие пенсионные фонды принесли россиянам наибольший доход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646" w:history="1">
        <w:r w:rsidRPr="00C179CC">
          <w:rPr>
            <w:rStyle w:val="a3"/>
          </w:rPr>
          <w:t>За первую половину года крупнейшие российские НПФ увеличили накопления своих клиентов на 7—8%. В лидерах оказались те, что больше других вкладывались в акции. При этом положительной доходности смогли добиться все фонды — в России их около 40. И, за редким исключением, почти все они превзошли инфляцию.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_Toc147905646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647" w:history="1">
        <w:r w:rsidRPr="00C179CC">
          <w:rPr>
            <w:rStyle w:val="a3"/>
            <w:noProof/>
          </w:rPr>
          <w:t>Ваш Пенсионный Брокер, 10.10.2023, НПФ ГАЗФОНД опубликовал информацию о структурах портфелей пенсионных накоплений и пенсионных резервов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648" w:history="1">
        <w:r w:rsidRPr="00C179CC">
          <w:rPr>
            <w:rStyle w:val="a3"/>
          </w:rPr>
          <w:t>«НПФ ГАЗФОНД пенсионные накопления» опубликовал информацию о структурах инвестиционных портфелей пенсионных накоплений и пенсионных резервов с указанием долей, приходящихся на виды активов, перечисленные в пункте 1 статьи 24.1 Федерального закона «О негосударственных пенсионных фондах» (определенные в соответствии со статьей 25 Федерального закона «О негосударственных пенсионных фондах») по состоянию на 30 сентября 2023 г. согласно требованиям Центрального Банка Российской Федерации.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7905649" w:history="1">
        <w:r w:rsidRPr="00C179CC">
          <w:rPr>
            <w:rStyle w:val="a3"/>
            <w:noProof/>
          </w:rPr>
          <w:t>Новости развития системы обязательного пенсионного страхования и страховой пенсии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650" w:history="1">
        <w:r w:rsidRPr="00C179CC">
          <w:rPr>
            <w:rStyle w:val="a3"/>
            <w:noProof/>
          </w:rPr>
          <w:t>Коммерсантъ, 10.10.2023, Эмилия ГАБДУЛЛИНА, Демографии приказано выжить. В ОП обсудили безопасность страны в свете рождаемости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651" w:history="1">
        <w:r w:rsidRPr="00C179CC">
          <w:rPr>
            <w:rStyle w:val="a3"/>
          </w:rPr>
          <w:t>Вчера в Общественной палате (ОП) РФ обсудили стратегию демографической безопасности страны в рамках выполнения профильного указа президента Владимира Путина, утвердившего госполитику по сохранению и укреплению традиционных российских духовно-нравственных ценностей. Низкие цифры рождаемости и увеличение числа абортов заставили собравшихся искать нестандартные решения. В частности, прозвучало предложение наделить генеральными полномочиями по решению демографической проблемы Совет безопасности РФ. А вице-спикер Госдумы Петр Толстой (ЕР) пообещал, что уже весной парламент может принять законопроект о запрете проводить аборты в частных клиниках.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_Toc147905651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652" w:history="1">
        <w:r w:rsidRPr="00C179CC">
          <w:rPr>
            <w:rStyle w:val="a3"/>
            <w:noProof/>
          </w:rPr>
          <w:t>Парламентская газета, 10.10.2023, Пенсии россиян растут, но отстают от международных норм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653" w:history="1">
        <w:r w:rsidRPr="00C179CC">
          <w:rPr>
            <w:rStyle w:val="a3"/>
          </w:rPr>
          <w:t>Размер пенсий нужно повысить до сорока процентов утраченного после выхода на заслуженный отдых заработка, как это закреплено «Стратегией долгосрочного развития пенсионной системы Российской Федерации» и Конвенцией № 102 Международной организации труда. Так считает доктор экономических наук, профессор, главный научный сотрудник Института демографических исследований Федерального научно-исследовательского социологического центра РАН Алексей Кашепов. «Парламентская газета» изучила его материал в последнем номере журнала «Социально-трудовые исследования» ВНИИ труда, посвященный предварительным результатам пенсионной реформы.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654" w:history="1">
        <w:r w:rsidRPr="00C179CC">
          <w:rPr>
            <w:rStyle w:val="a3"/>
            <w:noProof/>
          </w:rPr>
          <w:t>Парламентская газета, 10.10.2023, Школкина разработала законопроект о дополнительной соцподдержке опекунов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655" w:history="1">
        <w:r w:rsidRPr="00C179CC">
          <w:rPr>
            <w:rStyle w:val="a3"/>
          </w:rPr>
          <w:t>Первый заместитель председателя Комитета Государственной Думы по экономической политике Надежда Школкина («Единая Россия») разработала законопроект, направленный на повышение мер соцподдержки граждан, являющихся опекунами (попечителями) нетрудоспособных лиц. Документ внесут в Госдуму 10 октября, сообщили в пресс-службе депутата.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_Toc147905655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656" w:history="1">
        <w:r w:rsidRPr="00C179CC">
          <w:rPr>
            <w:rStyle w:val="a3"/>
            <w:noProof/>
          </w:rPr>
          <w:t>ТАСС, 10.10.2023, Доходы Соцфонда в 2024 году могут составить более 16 трлн рублей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657" w:history="1">
        <w:r w:rsidRPr="00C179CC">
          <w:rPr>
            <w:rStyle w:val="a3"/>
          </w:rPr>
          <w:t>Общие доходы Социального фонда России на 2024 год могут составить более 16 трлн рублей. По сравнению с 2023 годом показатель увеличится на 16%, сообщил председатель фонда Сергей Чирков.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658" w:history="1">
        <w:r w:rsidRPr="00C179CC">
          <w:rPr>
            <w:rStyle w:val="a3"/>
            <w:noProof/>
          </w:rPr>
          <w:t>АК&amp;М, 10.10.2023, СФР переходит на новые правила обмена электронными документами с работодателями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659" w:history="1">
        <w:r w:rsidRPr="00C179CC">
          <w:rPr>
            <w:rStyle w:val="a3"/>
          </w:rPr>
          <w:t>Фонд пенсионного и социального страхования РФ (СФР) утвердил правила обмена электронными документами с работодателями в рамках обязательного социального страхования (то есть законов от 24.07.1998 № 125-ФЗ и от 29.12.2006 № 255-ФЗ).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_Toc147905659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660" w:history="1">
        <w:r w:rsidRPr="00C179CC">
          <w:rPr>
            <w:rStyle w:val="a3"/>
            <w:noProof/>
          </w:rPr>
          <w:t>Конкурент, 10.10.2023, Будет повышение всем. Пенсионерам назвали точную сумму пенсии в 2024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661" w:history="1">
        <w:r w:rsidRPr="00C179CC">
          <w:rPr>
            <w:rStyle w:val="a3"/>
          </w:rPr>
          <w:t>Средняя пенсия в следующем году составит чуть больше 23,2 тыс. руб. в месяц. Об этом сообщает официальный телеграм-канал российского Минфина.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_Toc147905661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662" w:history="1">
        <w:r w:rsidRPr="00C179CC">
          <w:rPr>
            <w:rStyle w:val="a3"/>
            <w:noProof/>
          </w:rPr>
          <w:t>АБН, 10.10.2023, Пенсии в РФ вырастут еще на 20%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663" w:history="1">
        <w:r w:rsidRPr="00C179CC">
          <w:rPr>
            <w:rStyle w:val="a3"/>
          </w:rPr>
          <w:t>Пожилых россиян обрадовали повышением пенсий на 20%, которое произойдет уже в скором времени. В результате такой прибавки средняя пенсионная выплата в стране достигнет почти 26 000 рублей. Уточняется, что параметры грядущих индексаций пенсий согласованы кабинетом министров в проекте бюджета Социального фонда РФ на ближайшие годы.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664" w:history="1">
        <w:r w:rsidRPr="00C179CC">
          <w:rPr>
            <w:rStyle w:val="a3"/>
            <w:noProof/>
          </w:rPr>
          <w:t>NEWS.ru, 10.10.2023, Госрасходы на доплаты к пенсиям сократят в следующие три года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665" w:history="1">
        <w:r w:rsidRPr="00C179CC">
          <w:rPr>
            <w:rStyle w:val="a3"/>
          </w:rPr>
          <w:t>Расходы бюджета России на региональные социальные доплаты к пенсиям сократятся в ближайшие три года. Об этом стало известно NEWS.ru после ознакомления с правительственным проектом бюджета на 2024-2026 годы. В нем соответствующие траты заметно меньше, чем планировалось предыдущим законом о бюджете, на 2023-2025 годы.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666" w:history="1">
        <w:r w:rsidRPr="00C179CC">
          <w:rPr>
            <w:rStyle w:val="a3"/>
            <w:noProof/>
          </w:rPr>
          <w:t>PRIMPRESS, 10.10.2023, И работающим, и неработающим. Пенсионерам объявили о разовой выплате 10 000 рублей с 11 октября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667" w:history="1">
        <w:r w:rsidRPr="00C179CC">
          <w:rPr>
            <w:rStyle w:val="a3"/>
          </w:rPr>
          <w:t>Разовую выплату в размере 10 тысяч рублей начнут перечислять пенсионерам уже с 11 октября. О выдаче таких денег пожилым людям объявили во многих регионах. А рассчитывать на их получение смогут как неработающие граждан, так и официально трудоустроенные. Об этом рассказал пенсионный эксперт Сергей Власов, сообщает PRIMPRESS.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668" w:history="1">
        <w:r w:rsidRPr="00C179CC">
          <w:rPr>
            <w:rStyle w:val="a3"/>
            <w:noProof/>
          </w:rPr>
          <w:t>ФедералПресс, 10.10.2023, Пенсионерам назвали условия получения доплаты в 1900 рублей за 30 лет стажа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669" w:history="1">
        <w:r w:rsidRPr="00C179CC">
          <w:rPr>
            <w:rStyle w:val="a3"/>
          </w:rPr>
          <w:t>В Социальном фонде России рассказали, кто из пенсионеров может получить ежемесячную доплату к пенсии в размере 1900 рублей.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670" w:history="1">
        <w:r w:rsidRPr="00C179CC">
          <w:rPr>
            <w:rStyle w:val="a3"/>
            <w:noProof/>
          </w:rPr>
          <w:t>Pensnews.ru, 10.10.2023, Пенсионеров все чаще зовут на работу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671" w:history="1">
        <w:r w:rsidRPr="00C179CC">
          <w:rPr>
            <w:rStyle w:val="a3"/>
          </w:rPr>
          <w:t>Пока власти усиленно, если брать нежелание индексировать выплаты, борются с пенсионерами, которые «вздумали» работать, у российский работодателей начинает радикально меняться подход к гражданам, которых они хотят видеть у себя на предприятиях, пишет Pensnews.ru.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7905672" w:history="1">
        <w:r w:rsidRPr="00C179CC">
          <w:rPr>
            <w:rStyle w:val="a3"/>
            <w:noProof/>
          </w:rPr>
          <w:t>НОВОСТИ МАКРОЭКОНОМИКИ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673" w:history="1">
        <w:r w:rsidRPr="00C179CC">
          <w:rPr>
            <w:rStyle w:val="a3"/>
            <w:noProof/>
          </w:rPr>
          <w:t>РИА Новости, 10.10.2023, Мишустин: РФ обладает большим инновационным потенциалом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674" w:history="1">
        <w:r w:rsidRPr="00C179CC">
          <w:rPr>
            <w:rStyle w:val="a3"/>
          </w:rPr>
          <w:t>Россия обладает большим инновационным потенциалом, ученые создают востребованные решения на основе искусственного интеллекта, квантовых вычислений и коммуникаций, а также новых материалов, у РФ достаточно возможностей, чтобы наладить полный цикл выпуска изделий для различных сфер экономики, заявил премьер-министр РФ Михаил Мишустин.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675" w:history="1">
        <w:r w:rsidRPr="00C179CC">
          <w:rPr>
            <w:rStyle w:val="a3"/>
            <w:noProof/>
          </w:rPr>
          <w:t>РИА Новости, 10.10.2023, Мишустин: будем и дальше предлагать механизмы помощи отрасли электроники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676" w:history="1">
        <w:r w:rsidRPr="00C179CC">
          <w:rPr>
            <w:rStyle w:val="a3"/>
          </w:rPr>
          <w:t>Российское правительство продолжит предлагать эффективные механизмы помощи отрасли электроники, заявил премьер-министр РФ Михаил Мишустин.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_Toc147905676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677" w:history="1">
        <w:r w:rsidRPr="00C179CC">
          <w:rPr>
            <w:rStyle w:val="a3"/>
            <w:noProof/>
          </w:rPr>
          <w:t>ТАСС, 10.10.2023, Более 260 млрд руб. направят на госпрограмму охраны окружающей среды до 2027 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678" w:history="1">
        <w:r w:rsidRPr="00C179CC">
          <w:rPr>
            <w:rStyle w:val="a3"/>
          </w:rPr>
          <w:t>Финансирование государственной программы по охране окружающей среды в проекте бюджета на 2024-2026 годы составит более 260 млрд рублей. Об этом заявила журналистам заместитель председателя российского правительства Виктория Абрамченко на Российском экологическом форуме.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679" w:history="1">
        <w:r w:rsidRPr="00C179CC">
          <w:rPr>
            <w:rStyle w:val="a3"/>
            <w:noProof/>
          </w:rPr>
          <w:t>РИА Новости, 10.10.2023, Более 210 млрд руб будет направлено на развитие микроэлектроники в РФ в 2024 г - Мантуров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680" w:history="1">
        <w:r w:rsidRPr="00C179CC">
          <w:rPr>
            <w:rStyle w:val="a3"/>
          </w:rPr>
          <w:t>Бюджетные инвестиции в развитие российской микроэлектроники в 2024 году превысят 210 миллиардов рублей, сообщил вице-премьер - глава Минпромторга РФ Денис Мантуров, выступая на пленарной сессии форума «Микроэлектроника».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_Toc147905680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681" w:history="1">
        <w:r w:rsidRPr="00C179CC">
          <w:rPr>
            <w:rStyle w:val="a3"/>
            <w:noProof/>
          </w:rPr>
          <w:t>РИА Новости, 10.10.2023, Володин выступает за повышение ответственности зампредов, членов совета директоров ЦБ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682" w:history="1">
        <w:r w:rsidRPr="00C179CC">
          <w:rPr>
            <w:rStyle w:val="a3"/>
          </w:rPr>
          <w:t>Председатель Госдумы Вячеслав Володин выступает за повышение ответственности зампредов, членов совета директоров Банка России, сообщает думская пресс-служба.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683" w:history="1">
        <w:r w:rsidRPr="00C179CC">
          <w:rPr>
            <w:rStyle w:val="a3"/>
            <w:noProof/>
          </w:rPr>
          <w:t>ТАСС, 10.10.2023, Направленность заложенной в проект бюджета на 2024-2026 гг. политики сохранится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684" w:history="1">
        <w:r w:rsidRPr="00C179CC">
          <w:rPr>
            <w:rStyle w:val="a3"/>
          </w:rPr>
          <w:t>Поправки к проекту федерального бюджета РФ на 2024-2026 гг. могут быть представлены ко второму чтению документа в Госдуме, но заложенная в проекте бюджетная политика сохранит направленность и целостность. Об этом заявил министр финансов РФ Антон Силуанов в интервью Наиле Аскер-заде на телеканале «Россия-24».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685" w:history="1">
        <w:r w:rsidRPr="00C179CC">
          <w:rPr>
            <w:rStyle w:val="a3"/>
            <w:noProof/>
          </w:rPr>
          <w:t>ТАСС, 10.10.2023, Минфин считает приватизацию одним из ресурсов пополнения бюджета - Силуанов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686" w:history="1">
        <w:r w:rsidRPr="00C179CC">
          <w:rPr>
            <w:rStyle w:val="a3"/>
          </w:rPr>
          <w:t>Министерство финансов РФ рассматривает приватизацию в качестве одного из возможных источников пополнения бюджета. Об этом в интервью Наиле Аскер-заде на телеканале «Россия-24» заявил министр финансов России Антон Силуанов.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687" w:history="1">
        <w:r w:rsidRPr="00C179CC">
          <w:rPr>
            <w:rStyle w:val="a3"/>
            <w:noProof/>
          </w:rPr>
          <w:t>ТАСС, 10.10.2023, Новые регионы в 2024 г. будут полностью интегрированы в бюджетную систему РФ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688" w:history="1">
        <w:r w:rsidRPr="00C179CC">
          <w:rPr>
            <w:rStyle w:val="a3"/>
          </w:rPr>
          <w:t>Новые регионы в 2024 г. будут полностью интегрированы в российскую систему межбюджетных отношений и в общее правовое пространство, заявил министр финансов РФ Антон Силуанов в интервью Наиле Аскер-заде на телеканале «Россия-24».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689" w:history="1">
        <w:r w:rsidRPr="00C179CC">
          <w:rPr>
            <w:rStyle w:val="a3"/>
            <w:noProof/>
          </w:rPr>
          <w:t>ТАСС, 10.10.2023, Минфин РФ может скорректировать план займов на 2024 г. при хорошей конъюнктуре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690" w:history="1">
        <w:r w:rsidRPr="00C179CC">
          <w:rPr>
            <w:rStyle w:val="a3"/>
          </w:rPr>
          <w:t>Минфин может скорректировать план внутренних заимствований на 2024 год при благоприятной конъюнктуре. Об этом в интервью Наиле Аскер-заде на телеканале «Россия-24» заявил министр финансов России Антон Силуанов.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691" w:history="1">
        <w:r w:rsidRPr="00C179CC">
          <w:rPr>
            <w:rStyle w:val="a3"/>
            <w:noProof/>
          </w:rPr>
          <w:t>РИА Новости, 10.10.2023, Благодаря хорошей конъюнктуре рынков ФНБ удастся пополнить в этом году - Силуанов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692" w:history="1">
        <w:r w:rsidRPr="00C179CC">
          <w:rPr>
            <w:rStyle w:val="a3"/>
          </w:rPr>
          <w:t>Фонд национального благосостояния (ФНБ) в 2023 году будет пополняться, даже несмотря на то, что часть нефтегазовых доходов пойдет на замещение источников внутренних займов, заявил министр финансов РФ Антон Силуанов.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693" w:history="1">
        <w:r w:rsidRPr="00C179CC">
          <w:rPr>
            <w:rStyle w:val="a3"/>
            <w:noProof/>
          </w:rPr>
          <w:t>РИА Новости, 10.10.2023, Экономия на финансировании военных расходов для достижения целей СВО невозможна - Силуанов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694" w:history="1">
        <w:r w:rsidRPr="00C179CC">
          <w:rPr>
            <w:rStyle w:val="a3"/>
          </w:rPr>
          <w:t>Экономия на финансировании военных расходов для достижения целей специальной военной операции невозможна, они обеспечены ресурсами в следующем году, заявил министр финансов РФ Антон Силуанов.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695" w:history="1">
        <w:r w:rsidRPr="00C179CC">
          <w:rPr>
            <w:rStyle w:val="a3"/>
            <w:noProof/>
          </w:rPr>
          <w:t>РИА Новости, 10.10.2023, Минфин РФ предлагает точечные дополнения в план приватизации на 2024 г - Силуанов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696" w:history="1">
        <w:r w:rsidRPr="00C179CC">
          <w:rPr>
            <w:rStyle w:val="a3"/>
          </w:rPr>
          <w:t>Минфин РФ предлагает в 2024 году дополнительно рассмотреть приватизацию отдельных активов без потери контроля со стороны государства, заявил министр финансов Антон Силуанов.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_Toc147905696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697" w:history="1">
        <w:r w:rsidRPr="00C179CC">
          <w:rPr>
            <w:rStyle w:val="a3"/>
            <w:noProof/>
          </w:rPr>
          <w:t>ТАСС, 10.10.2023, В ПСБ сообщили, что только 17% россиян за последний год имели опыт инвестирования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698" w:history="1">
        <w:r w:rsidRPr="00C179CC">
          <w:rPr>
            <w:rStyle w:val="a3"/>
          </w:rPr>
          <w:t>Только 17% россиян за последние 12 месяцев имели опыт инвестирования, самым известным инструментом опрошенные назвали акции. Такие результаты были получены в ходе исследования Индекса сберегательно-инвестиционной активности россиян (ИСИАР), проводимого ПСБ совместно с НИФИ Минфина России и Аналитическим центром НАФИ.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7905699" w:history="1">
        <w:r w:rsidRPr="00C179CC">
          <w:rPr>
            <w:rStyle w:val="a3"/>
            <w:noProof/>
          </w:rPr>
          <w:t>НОВОСТИ ЗАРУБЕЖНЫХ ПЕНСИОННЫХ СИСТЕМ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7905700" w:history="1">
        <w:r w:rsidRPr="00C179CC">
          <w:rPr>
            <w:rStyle w:val="a3"/>
            <w:noProof/>
          </w:rPr>
          <w:t>Новости пенсионной отрасли стран ближнего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701" w:history="1">
        <w:r w:rsidRPr="00C179CC">
          <w:rPr>
            <w:rStyle w:val="a3"/>
            <w:noProof/>
          </w:rPr>
          <w:t>Белорусы и рынок, 10.10.2023, На какую пенсию могут рассчитывать многодетные матери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702" w:history="1">
        <w:r w:rsidRPr="00C179CC">
          <w:rPr>
            <w:rStyle w:val="a3"/>
          </w:rPr>
          <w:t>О тонкостях пенсионных гарантий многодетным матерям рассказал телеграм-канал Министерства труда и социальной защиты.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703" w:history="1">
        <w:r w:rsidRPr="00C179CC">
          <w:rPr>
            <w:rStyle w:val="a3"/>
            <w:noProof/>
          </w:rPr>
          <w:t>Казахстанская правда, 10.10.2023, О снижении пенсионного возраста шахтерам высказалась Жакупова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704" w:history="1">
        <w:r w:rsidRPr="00C179CC">
          <w:rPr>
            <w:rStyle w:val="a3"/>
          </w:rPr>
          <w:t>Министр труда и социальной защиты населения РК Светлана Жакупова ответила на вопросы журналистов касательно работы по снижению пенсионного возраста для шахтеров, передает корреспондент Kazpravda.kz.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_Toc147905704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705" w:history="1">
        <w:r w:rsidRPr="00C179CC">
          <w:rPr>
            <w:rStyle w:val="a3"/>
            <w:noProof/>
          </w:rPr>
          <w:t>Total.kz, 10.10.2023, Пенсионные активы казахстанцев выросли на 17,7% в 2023 году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706" w:history="1">
        <w:r w:rsidRPr="00C179CC">
          <w:rPr>
            <w:rStyle w:val="a3"/>
          </w:rPr>
          <w:t>Заместитель председателя Национального банка страны Берик Шолпанкулов доложил о состоянии пенсионных активов казахстанцев, передает корреспондент Total.kz.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707" w:history="1">
        <w:r w:rsidRPr="00C179CC">
          <w:rPr>
            <w:rStyle w:val="a3"/>
            <w:noProof/>
          </w:rPr>
          <w:t>Акчабар, 10.10.2023, Соцфонд против использования средств НПФ на покупку жилья у застройщиков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708" w:history="1">
        <w:r w:rsidRPr="00C179CC">
          <w:rPr>
            <w:rStyle w:val="a3"/>
          </w:rPr>
          <w:t>Средства накопительной части Пенсионного фонда  предлагается использовать на покупку жилья у любого субъекта строительства. Соответствующий законопроект одобрен комитетом по бюджету, экономической и фискальной политике Жогорку Кенеша в первом чтении.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7905709" w:history="1">
        <w:r w:rsidRPr="00C179CC">
          <w:rPr>
            <w:rStyle w:val="a3"/>
            <w:noProof/>
          </w:rPr>
          <w:t>Новости пенсионной отрасли стран дальнего зарубежья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710" w:history="1">
        <w:r w:rsidRPr="00C179CC">
          <w:rPr>
            <w:rStyle w:val="a3"/>
            <w:noProof/>
          </w:rPr>
          <w:t>ИА Красная Весна, 10.10.2023, Министр обороны Малайзии сообщил об угрозах пенсионному фонду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711" w:history="1">
        <w:r w:rsidRPr="00C179CC">
          <w:rPr>
            <w:rStyle w:val="a3"/>
          </w:rPr>
          <w:t>Власти Малайзии должны провести реструктуризацию активов группы Boustead Holdings Bhd, чтобы пенсионный фонд ВС Малайзии (LTAT), который зависит от доходов компании, сохранил накопления, заявил министр обороны страны Мохамад Хасан 9 октября, сообщает издание Malay Mail.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712" w:history="1">
        <w:r w:rsidRPr="00C179CC">
          <w:rPr>
            <w:rStyle w:val="a3"/>
            <w:noProof/>
          </w:rPr>
          <w:t>ИА Красная весна, 10.10.2023, Правительство Перу вводит минимальную пенсию для частной системы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713" w:history="1">
        <w:r w:rsidRPr="00C179CC">
          <w:rPr>
            <w:rStyle w:val="a3"/>
          </w:rPr>
          <w:t>Законопроект, создающий новую систему социального обеспечения с минимальной пенсией в размере 600 солей (около 16 тыс. руб.), объявило правительство Перу. Об этом 9 октября сообщает пресс-служба министерства экономики и финансов.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714" w:history="1">
        <w:r w:rsidRPr="00C179CC">
          <w:rPr>
            <w:rStyle w:val="a3"/>
            <w:noProof/>
          </w:rPr>
          <w:t>ИА SM-News, 09.10.2023, В Чили вырос уровень одобрения будущей конституции страны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715" w:history="1">
        <w:r w:rsidRPr="00C179CC">
          <w:rPr>
            <w:rStyle w:val="a3"/>
          </w:rPr>
          <w:t>В результате массовых протестов, начавшихся в октябре 2019 года, было принято решение о проведении референдума по изменению конституции в Чили. И судя по последним данным соцопроса, все больше людей поддерживают эту инициативу. Одной из основных причин растущей поддержки новой конституции является возможность свободно выбирать лечебные учреждения, образовательные заведения и систему пенсионного обеспечения.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12"/>
        <w:tabs>
          <w:tab w:val="right" w:leader="dot" w:pos="9061"/>
        </w:tabs>
        <w:rPr>
          <w:rFonts w:ascii="Calibri" w:hAnsi="Calibri"/>
          <w:b w:val="0"/>
          <w:noProof/>
          <w:sz w:val="22"/>
          <w:szCs w:val="22"/>
        </w:rPr>
      </w:pPr>
      <w:hyperlink w:anchor="_Toc147905716" w:history="1">
        <w:r w:rsidRPr="00C179CC">
          <w:rPr>
            <w:rStyle w:val="a3"/>
            <w:noProof/>
          </w:rPr>
          <w:t>КОРОНАВИРУС COVID-19 – ПОСЛЕДНИЕ НОВОСТИ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717" w:history="1">
        <w:r w:rsidRPr="00C179CC">
          <w:rPr>
            <w:rStyle w:val="a3"/>
            <w:noProof/>
          </w:rPr>
          <w:t>ТАСС, 10.10.2023, Ситуация с ковидом в России стабилизируется - Роспотребнадзор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718" w:history="1">
        <w:r w:rsidRPr="00C179CC">
          <w:rPr>
            <w:rStyle w:val="a3"/>
          </w:rPr>
          <w:t>Заболеваемость коронавирусной инфекцией в России снизилась на 3,5% за неделю, ситуация с ковидом стабилизируется. Об этом журналистами сообщили в пресс-службе Роспотребнадзора.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719" w:history="1">
        <w:r w:rsidRPr="00C179CC">
          <w:rPr>
            <w:rStyle w:val="a3"/>
            <w:noProof/>
          </w:rPr>
          <w:t>РИА Новости, 10.10.2023, Роспотребнадзор: в РФ стабилизируется ситуация с заболеваемостью коронавирусом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720" w:history="1">
        <w:r w:rsidRPr="00C179CC">
          <w:rPr>
            <w:rStyle w:val="a3"/>
          </w:rPr>
          <w:t>Ситуация с заболеваемостью коронавирусом стабилизируется в России, за прошлую неделю зарегистрировано более 16 тысяч случаев, сообщили журналистам в пресс-службе Роспотребнадзора.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_Toc147905720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721" w:history="1">
        <w:r w:rsidRPr="00C179CC">
          <w:rPr>
            <w:rStyle w:val="a3"/>
            <w:noProof/>
          </w:rPr>
          <w:t>РИА Новости, 10.10.2023, Вакцины, защищающие сразу от гриппа и COVID, могут появиться в 2024-2025 г - НИИ гриппа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722" w:history="1">
        <w:r w:rsidRPr="00C179CC">
          <w:rPr>
            <w:rStyle w:val="a3"/>
          </w:rPr>
          <w:t>Отечественные комбинированные вакцины, защищающие сразу от гриппа и коронавируса, могут появиться в 2024-2025 году, считает директор НИИ гриппа имени Смородинцева Минздрава России Дмитрий Лиознов.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974620" w:rsidRPr="006E678B" w:rsidRDefault="00974620">
      <w:pPr>
        <w:pStyle w:val="2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47905723" w:history="1">
        <w:r w:rsidRPr="00C179CC">
          <w:rPr>
            <w:rStyle w:val="a3"/>
            <w:noProof/>
          </w:rPr>
          <w:t>ТАСС, 10.10.2023, МГУ прекратил разработку вакцины от коронавируса - «Р-Фарм»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_Toc147905723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974620" w:rsidRPr="006E678B" w:rsidRDefault="00974620">
      <w:pPr>
        <w:pStyle w:val="31"/>
        <w:rPr>
          <w:rFonts w:ascii="Calibri" w:hAnsi="Calibri"/>
          <w:sz w:val="22"/>
          <w:szCs w:val="22"/>
        </w:rPr>
      </w:pPr>
      <w:hyperlink w:anchor="_Toc147905724" w:history="1">
        <w:r w:rsidRPr="00C179CC">
          <w:rPr>
            <w:rStyle w:val="a3"/>
          </w:rPr>
          <w:t>Московский государственный университет им. М. В. Ломоносова прекратил работу над созданием вакцины против коронавируса, но разработка платформы для других вакцин продолжается. Об этом сообщил ТАСС генеральный директор фармацевтической компании «Р-Фарм» Василий Игнатьев в кулуарах форума «Биотехмед».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_Toc147905724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A0290C" w:rsidRPr="009234E0" w:rsidRDefault="000E0F94" w:rsidP="00310633">
      <w:pPr>
        <w:rPr>
          <w:b/>
          <w:caps/>
          <w:sz w:val="32"/>
        </w:rPr>
      </w:pPr>
      <w:r w:rsidRPr="009234E0">
        <w:rPr>
          <w:caps/>
          <w:sz w:val="28"/>
        </w:rPr>
        <w:lastRenderedPageBreak/>
        <w:fldChar w:fldCharType="end"/>
      </w:r>
    </w:p>
    <w:p w:rsidR="00D1642B" w:rsidRPr="009234E0" w:rsidRDefault="00D1642B" w:rsidP="00D1642B">
      <w:pPr>
        <w:pStyle w:val="251"/>
      </w:pPr>
      <w:bookmarkStart w:id="15" w:name="_Toc396864664"/>
      <w:bookmarkStart w:id="16" w:name="_Toc99318652"/>
      <w:bookmarkStart w:id="17" w:name="_Toc246216291"/>
      <w:bookmarkStart w:id="18" w:name="_Toc246297418"/>
      <w:bookmarkStart w:id="19" w:name="_Toc147905643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9234E0">
        <w:lastRenderedPageBreak/>
        <w:t>НОВОСТИ ПЕНСИОННОЙ ОТРАСЛИ</w:t>
      </w:r>
      <w:bookmarkEnd w:id="15"/>
      <w:bookmarkEnd w:id="16"/>
      <w:bookmarkEnd w:id="19"/>
    </w:p>
    <w:p w:rsidR="00D1642B" w:rsidRPr="009234E0" w:rsidRDefault="00D1642B" w:rsidP="00D1642B">
      <w:pPr>
        <w:pStyle w:val="10"/>
      </w:pPr>
      <w:bookmarkStart w:id="20" w:name="_Toc99271685"/>
      <w:bookmarkStart w:id="21" w:name="_Toc99318653"/>
      <w:bookmarkStart w:id="22" w:name="_Toc246987631"/>
      <w:bookmarkStart w:id="23" w:name="_Toc248632297"/>
      <w:bookmarkStart w:id="24" w:name="_Toc251223975"/>
      <w:bookmarkStart w:id="25" w:name="_Toc147905644"/>
      <w:r w:rsidRPr="009234E0">
        <w:t>Новости отрасли НПФ</w:t>
      </w:r>
      <w:bookmarkEnd w:id="20"/>
      <w:bookmarkEnd w:id="21"/>
      <w:bookmarkEnd w:id="25"/>
    </w:p>
    <w:p w:rsidR="006F14AB" w:rsidRPr="009234E0" w:rsidRDefault="006F14AB" w:rsidP="006F14AB">
      <w:pPr>
        <w:pStyle w:val="2"/>
      </w:pPr>
      <w:bookmarkStart w:id="26" w:name="А101"/>
      <w:bookmarkStart w:id="27" w:name="_Toc147905645"/>
      <w:r w:rsidRPr="009234E0">
        <w:t>Тинькофф Журнал, 09.10.2023, Николай ВАЛЮХ, Игорь ЖУЛЬКИН, Какие пенсионные фонды принесли россиянам наибольший доход</w:t>
      </w:r>
      <w:bookmarkEnd w:id="26"/>
      <w:bookmarkEnd w:id="27"/>
    </w:p>
    <w:p w:rsidR="00AB507E" w:rsidRPr="009234E0" w:rsidRDefault="006F14AB" w:rsidP="009234E0">
      <w:pPr>
        <w:pStyle w:val="3"/>
      </w:pPr>
      <w:bookmarkStart w:id="28" w:name="_Toc147905646"/>
      <w:r w:rsidRPr="009234E0">
        <w:t>За первую половину года крупнейшие российские НПФ увеличили накопления своих клиентов на 7—8%. В лидерах оказались те, что больше других вкладывались в акции.</w:t>
      </w:r>
      <w:r w:rsidR="00760B06" w:rsidRPr="009234E0">
        <w:t xml:space="preserve"> </w:t>
      </w:r>
      <w:r w:rsidRPr="009234E0">
        <w:t>При этом положительной доходности смогли добиться все фонды — в России их около 40. И, за редким исключением, почти все они превзошли инфляцию.</w:t>
      </w:r>
      <w:bookmarkEnd w:id="28"/>
      <w:r w:rsidRPr="009234E0">
        <w:t xml:space="preserve"> </w:t>
      </w:r>
    </w:p>
    <w:p w:rsidR="006F14AB" w:rsidRPr="009234E0" w:rsidRDefault="006F14AB" w:rsidP="006F14AB">
      <w:r w:rsidRPr="009234E0">
        <w:t>Правда, в этом достижении больше роль самой инфляции, которая сильно снизилась с прошлогодних двузначных значений. Но и доходность НПФ тоже оказалась выше среднего: медианный показатель по всем фондам составил 9% годовых, в то время как за последние 10 лет он был 7—8%.</w:t>
      </w:r>
    </w:p>
    <w:p w:rsidR="006F14AB" w:rsidRPr="009234E0" w:rsidRDefault="006F14AB" w:rsidP="006F14AB">
      <w:r w:rsidRPr="009234E0">
        <w:t>На основе данных ЦБ мы сравнили результаты крупнейших фондов, в управлении которых почти 5 трлн рублей будущих и нынешних российских пенсионеров.</w:t>
      </w:r>
    </w:p>
    <w:p w:rsidR="006F14AB" w:rsidRPr="009234E0" w:rsidRDefault="006F14AB" w:rsidP="006F14AB">
      <w:r w:rsidRPr="009234E0">
        <w:t>Разберемся, куда инвестируют НПФ, кто делает это удачнее всех и как выглядит их доходность на фоне других инструментов.</w:t>
      </w:r>
    </w:p>
    <w:p w:rsidR="006F14AB" w:rsidRPr="009234E0" w:rsidRDefault="006F14AB" w:rsidP="006F14AB">
      <w:r w:rsidRPr="009234E0">
        <w:t>Пенсионные накопления и пенсионные резервы: в чем разница</w:t>
      </w:r>
    </w:p>
    <w:p w:rsidR="006F14AB" w:rsidRPr="009234E0" w:rsidRDefault="006F14AB" w:rsidP="006F14AB">
      <w:r w:rsidRPr="009234E0">
        <w:t>Эффективность негосударственных пенсионных фондов оценивают отдельно по двум сегментам: доходность пенсионных накоплений и доходность пенсионных резервов.</w:t>
      </w:r>
    </w:p>
    <w:p w:rsidR="006F14AB" w:rsidRPr="009234E0" w:rsidRDefault="006F14AB" w:rsidP="006F14AB">
      <w:r w:rsidRPr="009234E0">
        <w:t xml:space="preserve">К середине 2023 года пенсионные резервы российских НПФ превысили 1,7 трлн рублей. В этой сумме не только взносы, но и накопленный инвестиционный доход. Участниками системы добровольного пенсионного обеспечения по действующим договорам числилось 6,3 млн человек. И около 1,5 млн россиян уже получает пенсионные выплаты — как раз из резервов. Средний счет </w:t>
      </w:r>
      <w:r w:rsidR="00E635F7" w:rsidRPr="009234E0">
        <w:t>«</w:t>
      </w:r>
      <w:r w:rsidRPr="009234E0">
        <w:t>добровольных</w:t>
      </w:r>
      <w:r w:rsidR="00E635F7" w:rsidRPr="009234E0">
        <w:t>»</w:t>
      </w:r>
      <w:r w:rsidRPr="009234E0">
        <w:t xml:space="preserve"> клиентов НПФ составляет около 230 тысяч рублей.</w:t>
      </w:r>
    </w:p>
    <w:p w:rsidR="00760B06" w:rsidRPr="009234E0" w:rsidRDefault="00974620" w:rsidP="006F14AB">
      <w:r>
        <w:lastRenderedPageBreak/>
        <w:pict>
          <v:shape id="_x0000_i1027" type="#_x0000_t75" style="width:461.25pt;height:154.5pt">
            <v:imagedata r:id="rId11" o:title="Новый логотип1"/>
          </v:shape>
        </w:pict>
      </w:r>
    </w:p>
    <w:p w:rsidR="00760B06" w:rsidRPr="009234E0" w:rsidRDefault="00760B06" w:rsidP="006F14AB">
      <w:r w:rsidRPr="009234E0">
        <w:t xml:space="preserve">Источник: </w:t>
      </w:r>
      <w:r w:rsidR="00E635F7" w:rsidRPr="009234E0">
        <w:t>«</w:t>
      </w:r>
      <w:r w:rsidRPr="009234E0">
        <w:t>Обзор ключевых показателей негосударственных пенсионных фондов</w:t>
      </w:r>
      <w:r w:rsidR="00E635F7" w:rsidRPr="009234E0">
        <w:t>»</w:t>
      </w:r>
      <w:r w:rsidRPr="009234E0">
        <w:t>, информационно-аналитический материал Банка России, рис. 1, стр. 5 (6)</w:t>
      </w:r>
    </w:p>
    <w:p w:rsidR="006F14AB" w:rsidRPr="009234E0" w:rsidRDefault="006F14AB" w:rsidP="006F14AB">
      <w:r w:rsidRPr="009234E0">
        <w:t>Объем пенсионных накоплений НПФ почти вдвое превышает резервы — 3,25 трлн рублей с учетом инвестиционного дохода. При этом количество застрахованных в 6 раз больше, чем в добровольной системе, — 36,4 млн человек. Средний счет составляет менее 90 тысяч рублей. Весьма скромно для 12-летнего периода накопления и последующих 10 лет инвестиций — даже с учетом разного трудового стажа участников.</w:t>
      </w:r>
    </w:p>
    <w:p w:rsidR="006F14AB" w:rsidRPr="009234E0" w:rsidRDefault="006F14AB" w:rsidP="006F14AB">
      <w:r w:rsidRPr="009234E0">
        <w:t>Впрочем, со своей основной задачей — не проиграть официальной инфляции — пенсионные фонды все это время справлялись — как при работе с накоплениями, так и при работе с резервами.</w:t>
      </w:r>
    </w:p>
    <w:p w:rsidR="006F14AB" w:rsidRPr="009234E0" w:rsidRDefault="006F14AB" w:rsidP="006F14AB">
      <w:r w:rsidRPr="009234E0">
        <w:t>Какие НПФ инвестировали лучше всех</w:t>
      </w:r>
    </w:p>
    <w:p w:rsidR="006F14AB" w:rsidRPr="009234E0" w:rsidRDefault="006F14AB" w:rsidP="006F14AB">
      <w:r w:rsidRPr="009234E0">
        <w:t>А теперь про саму доходность. За 1 половину 2023 года НПФ показали относительно неплохой результат. Медианная доходность пенсионных накоплений и пенсионных резервов составила 4—5%. Этого хватило, чтобы спасти деньги клиентов от потребительской инфляции, которая за первые 6 месяцев года составила 2% с поправкой на сезонность.</w:t>
      </w:r>
    </w:p>
    <w:p w:rsidR="006F14AB" w:rsidRPr="009234E0" w:rsidRDefault="006F14AB" w:rsidP="006F14AB">
      <w:r w:rsidRPr="009234E0">
        <w:t>Всего в России работает 37 НПФ. При этом на долю пяти крупнейших приходится почти 80% всех накоплений и резервов. Этот рынок считается самым концентрированным среди всех рынков некредитных финансовых организаций. Для сравнения доходности мы взяли крупные фонды, которые занимают в совокупности почти 95% рынка.</w:t>
      </w:r>
    </w:p>
    <w:p w:rsidR="006F14AB" w:rsidRPr="009234E0" w:rsidRDefault="006F14AB" w:rsidP="006F14AB">
      <w:r w:rsidRPr="009234E0">
        <w:t xml:space="preserve">Лучшие результаты в этом году показали газпромовские НПФ </w:t>
      </w:r>
      <w:r w:rsidR="00E635F7" w:rsidRPr="009234E0">
        <w:t>«</w:t>
      </w:r>
      <w:r w:rsidRPr="009234E0">
        <w:t>Газфонд</w:t>
      </w:r>
      <w:r w:rsidR="00E635F7" w:rsidRPr="009234E0">
        <w:t>»</w:t>
      </w:r>
      <w:r w:rsidRPr="009234E0">
        <w:t xml:space="preserve"> и </w:t>
      </w:r>
      <w:r w:rsidR="00E635F7" w:rsidRPr="009234E0">
        <w:t>«</w:t>
      </w:r>
      <w:r w:rsidRPr="009234E0">
        <w:t>Газфонд-ПН</w:t>
      </w:r>
      <w:r w:rsidR="00E635F7" w:rsidRPr="009234E0">
        <w:t>»</w:t>
      </w:r>
      <w:r w:rsidRPr="009234E0">
        <w:t>, который управляет в основном пенсионными накоплениями. За полгода они приумножили сбережения своих клиентов на 7—8%, что почти вдвое лучше медианы.</w:t>
      </w:r>
    </w:p>
    <w:p w:rsidR="00760B06" w:rsidRPr="009234E0" w:rsidRDefault="00974620" w:rsidP="006F14AB">
      <w:r>
        <w:lastRenderedPageBreak/>
        <w:pict>
          <v:shape id="_x0000_i1028" type="#_x0000_t75" style="width:458.25pt;height:578.25pt">
            <v:imagedata r:id="rId12" o:title="Новый логотип1"/>
          </v:shape>
        </w:pict>
      </w:r>
    </w:p>
    <w:p w:rsidR="00760B06" w:rsidRPr="009234E0" w:rsidRDefault="00760B06" w:rsidP="006F14AB">
      <w:r w:rsidRPr="009234E0">
        <w:t>Источник: Банк России, расчеты редакции</w:t>
      </w:r>
    </w:p>
    <w:p w:rsidR="006F14AB" w:rsidRPr="009234E0" w:rsidRDefault="006F14AB" w:rsidP="006F14AB">
      <w:r w:rsidRPr="009234E0">
        <w:t xml:space="preserve">А еще высокую доходность показал крупнейший в России НПФ Сбербанка — в его управлении активы на 850 млрд рублей. За полгода пенсионные накопления и резервы фонда стали больше где-то на 7%. Секрет этого НПФ в относительно большой доле акций: если все фонды совокупно держат в них 7% пенсионных накоплений, то Сбер на </w:t>
      </w:r>
      <w:r w:rsidRPr="009234E0">
        <w:lastRenderedPageBreak/>
        <w:t>это отводит 12%. Первое полугодие вышло хорошим для акций, поэтому и доходность НПФ Сбербанка получилась выше среднего.</w:t>
      </w:r>
    </w:p>
    <w:p w:rsidR="006F14AB" w:rsidRPr="009234E0" w:rsidRDefault="006F14AB" w:rsidP="006F14AB">
      <w:r w:rsidRPr="009234E0">
        <w:t>Но это работает и в обратную сторону. По итогам 2022 года фондовый индекс Мосбиржи подешевел более чем на треть, и доходность НПФ Сбербанка оказалась вдвое ниже медианы: 4 против 8%. Но в целом на длинной дистанции акции растут быстрее облигаций, так что фонды с акцентом на акции на первый взгляд поинтереснее — особенно для тех, кому до пенсии еще далеко.</w:t>
      </w:r>
    </w:p>
    <w:p w:rsidR="00760B06" w:rsidRPr="009234E0" w:rsidRDefault="00974620" w:rsidP="006F14AB">
      <w:r>
        <w:pict>
          <v:shape id="_x0000_i1029" type="#_x0000_t75" style="width:460.5pt;height:309.75pt">
            <v:imagedata r:id="rId13" o:title="Новый логотип1"/>
          </v:shape>
        </w:pict>
      </w:r>
    </w:p>
    <w:p w:rsidR="00760B06" w:rsidRPr="009234E0" w:rsidRDefault="00760B06" w:rsidP="006F14AB">
      <w:r w:rsidRPr="009234E0">
        <w:t>Источник: Банк России, НПФ Сбербанка, расчеты редакции</w:t>
      </w:r>
    </w:p>
    <w:p w:rsidR="006F14AB" w:rsidRPr="009234E0" w:rsidRDefault="006F14AB" w:rsidP="006F14AB">
      <w:r w:rsidRPr="009234E0">
        <w:t>Какая доходность у НПФ на длинной дистанции</w:t>
      </w:r>
    </w:p>
    <w:p w:rsidR="006F14AB" w:rsidRPr="009234E0" w:rsidRDefault="006F14AB" w:rsidP="006F14AB">
      <w:r w:rsidRPr="009234E0">
        <w:t>Разговор о пенсионных накоплениях — это всегда разговор о долгосрочных инвестициях. Поэтому пенсионные фонды как актив лучше оценивать не за полгода, а на дистанции побольше.</w:t>
      </w:r>
    </w:p>
    <w:p w:rsidR="006F14AB" w:rsidRPr="009234E0" w:rsidRDefault="006F14AB" w:rsidP="006F14AB">
      <w:r w:rsidRPr="009234E0">
        <w:t>Доходность вложений в НПФ и другие инструменты на фоне инфляции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874"/>
        <w:gridCol w:w="1034"/>
        <w:gridCol w:w="1077"/>
        <w:gridCol w:w="1063"/>
        <w:gridCol w:w="1024"/>
        <w:gridCol w:w="1165"/>
        <w:gridCol w:w="1115"/>
        <w:gridCol w:w="515"/>
      </w:tblGrid>
      <w:tr w:rsidR="00760B06" w:rsidRPr="009234E0" w:rsidTr="00760B06">
        <w:trPr>
          <w:gridAfter w:val="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pPr>
              <w:rPr>
                <w:bCs/>
              </w:rPr>
            </w:pPr>
            <w:r w:rsidRPr="009234E0">
              <w:rPr>
                <w:bCs/>
              </w:rPr>
              <w:t>Индекс акций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pPr>
              <w:rPr>
                <w:bCs/>
              </w:rPr>
            </w:pPr>
            <w:r w:rsidRPr="009234E0">
              <w:rPr>
                <w:bCs/>
              </w:rPr>
              <w:t>Доллар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pPr>
              <w:rPr>
                <w:bCs/>
              </w:rPr>
            </w:pPr>
            <w:r w:rsidRPr="009234E0">
              <w:rPr>
                <w:bCs/>
              </w:rPr>
              <w:t>Депозит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pPr>
              <w:rPr>
                <w:bCs/>
              </w:rPr>
            </w:pPr>
            <w:r w:rsidRPr="009234E0">
              <w:rPr>
                <w:bCs/>
              </w:rPr>
              <w:t>Индекс ПН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rPr>
                <w:bCs/>
              </w:rPr>
              <w:t>ПН НПФ 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rPr>
                <w:bCs/>
              </w:rPr>
              <w:t>ПР НПФ 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pPr>
              <w:rPr>
                <w:bCs/>
              </w:rPr>
            </w:pPr>
            <w:r w:rsidRPr="009234E0">
              <w:rPr>
                <w:bCs/>
              </w:rPr>
              <w:t>Индекс ОФЗ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pPr>
              <w:rPr>
                <w:bCs/>
              </w:rPr>
            </w:pPr>
            <w:r w:rsidRPr="009234E0">
              <w:rPr>
                <w:bCs/>
              </w:rPr>
              <w:t>Инфляция</w:t>
            </w:r>
          </w:p>
        </w:tc>
      </w:tr>
      <w:tr w:rsidR="00760B06" w:rsidRPr="009234E0" w:rsidTr="0076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Тикер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MCFTR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USDRUB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—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RUPMI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—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—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RGBITR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—</w:t>
            </w:r>
          </w:p>
        </w:tc>
      </w:tr>
      <w:tr w:rsidR="00760B06" w:rsidRPr="009234E0" w:rsidTr="0076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2014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−2%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76%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8%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−1%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4%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4%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−14%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11%</w:t>
            </w:r>
          </w:p>
        </w:tc>
      </w:tr>
      <w:tr w:rsidR="00760B06" w:rsidRPr="009234E0" w:rsidTr="0076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2015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32%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26%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16%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17%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12%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11%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30%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13%</w:t>
            </w:r>
          </w:p>
        </w:tc>
      </w:tr>
      <w:tr w:rsidR="00760B06" w:rsidRPr="009234E0" w:rsidTr="0076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2016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33%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−16%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10%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14%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10%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9%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15%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5%</w:t>
            </w:r>
          </w:p>
        </w:tc>
      </w:tr>
      <w:tr w:rsidR="00760B06" w:rsidRPr="009234E0" w:rsidTr="0076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lastRenderedPageBreak/>
              <w:t>2017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0%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−6%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8%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7%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10%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9%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13%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3%</w:t>
            </w:r>
          </w:p>
        </w:tc>
      </w:tr>
      <w:tr w:rsidR="00760B06" w:rsidRPr="009234E0" w:rsidTr="0076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2018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19%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21%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7%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6%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6%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6%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2%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4%</w:t>
            </w:r>
          </w:p>
        </w:tc>
      </w:tr>
      <w:tr w:rsidR="00760B06" w:rsidRPr="009234E0" w:rsidTr="0076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2019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38%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−11%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7%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15%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12%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10%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20%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3%</w:t>
            </w:r>
          </w:p>
        </w:tc>
      </w:tr>
      <w:tr w:rsidR="00760B06" w:rsidRPr="009234E0" w:rsidTr="0076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2020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15%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20%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6%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9%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7%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7%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9%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5%</w:t>
            </w:r>
          </w:p>
        </w:tc>
      </w:tr>
      <w:tr w:rsidR="00760B06" w:rsidRPr="009234E0" w:rsidTr="0076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2021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22%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0%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4%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1%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3%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3%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−5%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8%</w:t>
            </w:r>
          </w:p>
        </w:tc>
      </w:tr>
      <w:tr w:rsidR="00760B06" w:rsidRPr="009234E0" w:rsidTr="0076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2022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−37%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−6%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8%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3%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8%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8%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4%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12%</w:t>
            </w:r>
          </w:p>
        </w:tc>
      </w:tr>
      <w:tr w:rsidR="00760B06" w:rsidRPr="009234E0" w:rsidTr="0076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2023*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35%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28%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8%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7%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5%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4%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2%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2%</w:t>
            </w:r>
          </w:p>
        </w:tc>
      </w:tr>
      <w:tr w:rsidR="00760B06" w:rsidRPr="009234E0" w:rsidTr="0076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Среднее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13%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11%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8%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8%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8%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7%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7%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7%</w:t>
            </w:r>
          </w:p>
        </w:tc>
      </w:tr>
      <w:tr w:rsidR="00760B06" w:rsidRPr="009234E0" w:rsidTr="00760B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Всего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237%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172%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123%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107%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106%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98%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93%</w:t>
            </w:r>
          </w:p>
        </w:tc>
        <w:tc>
          <w:tcPr>
            <w:tcW w:w="0" w:type="auto"/>
            <w:vAlign w:val="center"/>
            <w:hideMark/>
          </w:tcPr>
          <w:p w:rsidR="00760B06" w:rsidRPr="009234E0" w:rsidRDefault="00760B06" w:rsidP="00760B06">
            <w:r w:rsidRPr="009234E0">
              <w:t>89%</w:t>
            </w:r>
          </w:p>
        </w:tc>
      </w:tr>
    </w:tbl>
    <w:p w:rsidR="005F3638" w:rsidRPr="009234E0" w:rsidRDefault="005F3638" w:rsidP="006F14AB">
      <w:r w:rsidRPr="009234E0">
        <w:t>* Доходность за 6 месяцев 2023 года. Красным — ниже инфляции, зеленым — выше инфляции за период. Доходность НПФ медианная по всем фондам и до вычета комиссий. Доходность акций и облигаций с учетом дивидендов и купонов. Источник: доходность НПФ, депозитов и инфляция от Банка России, индексы акций, ОФЗ и пенсионных накоплений от Мосбиржи, курс доллара от Investing, расчеты редакции</w:t>
      </w:r>
    </w:p>
    <w:p w:rsidR="006F14AB" w:rsidRPr="009234E0" w:rsidRDefault="006F14AB" w:rsidP="006F14AB">
      <w:r w:rsidRPr="009234E0">
        <w:t>Вот несколько наблюдений по этой таблице.</w:t>
      </w:r>
    </w:p>
    <w:p w:rsidR="006F14AB" w:rsidRPr="009234E0" w:rsidRDefault="006F14AB" w:rsidP="006F14AB">
      <w:r w:rsidRPr="009234E0">
        <w:t>НПФ обогнали инфляцию. За 10 лет медианный фонд удвоил пенсионные накопления и пенсионные резервы. Это средний результат, зато он выше инфляции. В первую очередь НПФ должны сохранять покупательную способность сбережений своих клиентов, и с этой задачей они справились.</w:t>
      </w:r>
    </w:p>
    <w:p w:rsidR="006F14AB" w:rsidRPr="009234E0" w:rsidRDefault="006F14AB" w:rsidP="006F14AB">
      <w:r w:rsidRPr="009234E0">
        <w:t>НПФ на уровне с бенчмарком. Пенсионные накопления НПФ выросли ровно так же, как и индекс пе</w:t>
      </w:r>
      <w:r w:rsidR="005F3638" w:rsidRPr="009234E0">
        <w:t>нсионных накоплений от Мосбиржи</w:t>
      </w:r>
      <w:r w:rsidRPr="009234E0">
        <w:t>. В одни годы лучше были управляющие, в другие — индекс, но в целом за 10 лет доходность получилась одинаковая. Здесь ситуация такая же</w:t>
      </w:r>
      <w:r w:rsidR="005F3638" w:rsidRPr="009234E0">
        <w:t xml:space="preserve"> </w:t>
      </w:r>
      <w:r w:rsidRPr="009234E0">
        <w:t>, как и с обычными биржевыми фондами: управляющим трудно обогнать бенчмарк.</w:t>
      </w:r>
    </w:p>
    <w:p w:rsidR="006F14AB" w:rsidRPr="009234E0" w:rsidRDefault="006F14AB" w:rsidP="006F14AB">
      <w:r w:rsidRPr="009234E0">
        <w:t>НПФ вдвое хуже акций. Фондовый индекс Мосбиржи и курс доллара выросли примерно втрое за последнюю десятилетку, и это лучший результат. Но и путь они прошли более сложный: в отдельные годы были и минусы, и даже двузначные падения. Менеджеры НПФ позволить себе такие горки не могут. Кстати, за 10 лет у них не было ни одного убыточного года — хороший пример диверсификации и сбалансированного портфеля.</w:t>
      </w:r>
    </w:p>
    <w:p w:rsidR="006F14AB" w:rsidRPr="009234E0" w:rsidRDefault="006F14AB" w:rsidP="006F14AB">
      <w:r w:rsidRPr="009234E0">
        <w:t>Почему НПФ не зарабатывают больше</w:t>
      </w:r>
    </w:p>
    <w:p w:rsidR="006F14AB" w:rsidRPr="009234E0" w:rsidRDefault="006F14AB" w:rsidP="006F14AB">
      <w:r w:rsidRPr="009234E0">
        <w:t>Негосударственные пенсионные фонды могут предлагать клиентам стратегии с разным уровнем риска. Но даже среди самых рисковых не бывает суперагрессивных вариантов. Закон разрешает НПФ инвестировать деньги клиентов только в самые надежные инструменты.</w:t>
      </w:r>
    </w:p>
    <w:p w:rsidR="006F14AB" w:rsidRPr="009234E0" w:rsidRDefault="006F14AB" w:rsidP="006F14AB">
      <w:r w:rsidRPr="009234E0">
        <w:lastRenderedPageBreak/>
        <w:t>Кроме того, у фондов есть обязательства перед клиентами по безубыточности. Как минимум раз в 5 лет они обязаны зафиксировать доходность, которая не может быть ниже 0%. То есть даже на среднесрочном горизонте в минус им уходить никак нельзя. Отсюда и преимущественно консервативные инструменты в портфелях фондов: деньги российских пенсионеров вложены в основном в облигации — корпоративные, государственные и региональные.</w:t>
      </w:r>
    </w:p>
    <w:p w:rsidR="006F14AB" w:rsidRPr="009234E0" w:rsidRDefault="006F14AB" w:rsidP="006F14AB">
      <w:r w:rsidRPr="009234E0">
        <w:t>И тем не менее задача роста доходности и поиска оптимальной стратегии перед НПФ тоже стоит, поэтому фонды с годами меняют состав портфелей, отдавая предпочтение более перспективным инструментам. Тенденция последних месяцев — рост доли государственных облигаций за счет сокращения доли корпоративных. В условиях повышения ставок и соответствующих ожиданий рынка доходности по ОФЗ выросли сильнее, чем по бумагам компаний. Это повлияло на приоритеты НПФ.</w:t>
      </w:r>
    </w:p>
    <w:p w:rsidR="005F3638" w:rsidRPr="009234E0" w:rsidRDefault="00974620" w:rsidP="006F14AB">
      <w:r>
        <w:pict>
          <v:shape id="_x0000_i1030" type="#_x0000_t75" style="width:455.25pt;height:264.75pt">
            <v:imagedata r:id="rId14" o:title="Новый логотип1"/>
          </v:shape>
        </w:pict>
      </w:r>
    </w:p>
    <w:p w:rsidR="005F3638" w:rsidRPr="009234E0" w:rsidRDefault="005F3638" w:rsidP="006F14AB">
      <w:r w:rsidRPr="009234E0">
        <w:t xml:space="preserve">Источник: </w:t>
      </w:r>
      <w:r w:rsidR="00E635F7" w:rsidRPr="009234E0">
        <w:t>«</w:t>
      </w:r>
      <w:r w:rsidRPr="009234E0">
        <w:t>Обзор ключевых показателей негосударственных пенсионных фондов</w:t>
      </w:r>
      <w:r w:rsidR="00E635F7" w:rsidRPr="009234E0">
        <w:t>»</w:t>
      </w:r>
      <w:r w:rsidRPr="009234E0">
        <w:t>, информационно-аналитический материал Банка России, рис. 8, стр. 8 (9)</w:t>
      </w:r>
    </w:p>
    <w:p w:rsidR="006F14AB" w:rsidRPr="009234E0" w:rsidRDefault="006F14AB" w:rsidP="006F14AB">
      <w:r w:rsidRPr="009234E0">
        <w:t>Также выросли вложения в акции. Правда, в первую очередь за счет положительной переоценки на фоне быстрого роста рынка. Но и приобретения тоже были, причем у некоторых фондов — значительные.</w:t>
      </w:r>
    </w:p>
    <w:p w:rsidR="006F14AB" w:rsidRPr="009234E0" w:rsidRDefault="006F14AB" w:rsidP="006F14AB">
      <w:r w:rsidRPr="009234E0">
        <w:t xml:space="preserve">Так, </w:t>
      </w:r>
      <w:r w:rsidR="00E635F7" w:rsidRPr="009234E0">
        <w:t>«</w:t>
      </w:r>
      <w:r w:rsidRPr="009234E0">
        <w:t>Газфонд</w:t>
      </w:r>
      <w:r w:rsidR="00E635F7" w:rsidRPr="009234E0">
        <w:t>»</w:t>
      </w:r>
      <w:r w:rsidRPr="009234E0">
        <w:t xml:space="preserve"> в 2 квартале нарастил прямые вложения пенсионных резервов в акции банков почти в 9 раз. А </w:t>
      </w:r>
      <w:r w:rsidR="00E635F7" w:rsidRPr="009234E0">
        <w:t>«</w:t>
      </w:r>
      <w:r w:rsidRPr="009234E0">
        <w:t>Газфонд-ПН</w:t>
      </w:r>
      <w:r w:rsidR="00E635F7" w:rsidRPr="009234E0">
        <w:t>»</w:t>
      </w:r>
      <w:r w:rsidRPr="009234E0">
        <w:t xml:space="preserve"> — в 7 раз. Эксперты связывают это с участием фондов в скупке акций ВТБ: на двоих они могли выкупить большую часть акций июньской допэмиссии. По данным ЦБ, деньги на покупку акций фонды брали, кроме всего прочего, со своих банковских депозитов.</w:t>
      </w:r>
    </w:p>
    <w:p w:rsidR="006F14AB" w:rsidRPr="009234E0" w:rsidRDefault="006F14AB" w:rsidP="006F14AB">
      <w:r w:rsidRPr="009234E0">
        <w:t>Всего в акции к середине года вложили 232 млрд рублей клиентов российских НПФ. Это максимум за 5 лет. Из них 193 млрд рублей — пенсионные резервы, то есть деньги негосударственной добровольной системы. Их фонды инвестируют в рисковые активы смелее, поэтому в периоды роста рынка доходность у них выше.</w:t>
      </w:r>
    </w:p>
    <w:p w:rsidR="006F14AB" w:rsidRPr="009234E0" w:rsidRDefault="006F14AB" w:rsidP="006F14AB">
      <w:r w:rsidRPr="009234E0">
        <w:lastRenderedPageBreak/>
        <w:t>Если в прошлом году крупнейшие российские НПФ показали низкую доходность на фоне падения биржевых котировок, то в 2023 году результаты оказались уже значительно лучше благодаря восстановительной динамике рынка. В выигрыше оказались клиенты фондов с большой долей акций, которые стали драйвером роста портфелей.</w:t>
      </w:r>
    </w:p>
    <w:p w:rsidR="006F14AB" w:rsidRPr="009234E0" w:rsidRDefault="006F14AB" w:rsidP="006F14AB">
      <w:r w:rsidRPr="009234E0">
        <w:t>Доходность пенсионных фондов сдерживают их консервативные стратегии: НПФ сильно ограничены в праве выбора активов и обязаны обеспечивать надежность вложений. При этом оценивать результаты фондов лучше не на короткой, а на длинной дистанции, поскольку они ориентированы на долгосрочные инвестиции.</w:t>
      </w:r>
    </w:p>
    <w:p w:rsidR="006F14AB" w:rsidRPr="009234E0" w:rsidRDefault="006F14AB" w:rsidP="006F14AB">
      <w:r w:rsidRPr="009234E0">
        <w:t>Но показатели текущей доходности, очевидно, влияют на интерес россиян к НПФ. Ближе к середине года он заметно вырос. По данным ЦБ, в апреле — июне число участников фондов увеличилось на 16 тысяч человек после стагнации в 1 квартале. В числе причин позитивной динамики регулятор называет рост реальных доходов людей и повышение лимитов гарантирования: в апреле приняли закон, увеличивающий вдвое — до 2,8 млн рублей — страховую защиту вложений в НПФ на случай их банкротства или утраты лицензии.</w:t>
      </w:r>
    </w:p>
    <w:p w:rsidR="006F14AB" w:rsidRPr="009234E0" w:rsidRDefault="006F14AB" w:rsidP="006F14AB">
      <w:r w:rsidRPr="009234E0">
        <w:t>С 2024 года на рынке негосударственных пенсионных фондов появится еще один фактор роста. В России с января заработает программа долгосрочных сбережений, которая предусматривает софинансирование со стороны государства на сумму до 108 тысяч рублей в первые три года.</w:t>
      </w:r>
    </w:p>
    <w:p w:rsidR="006F14AB" w:rsidRPr="009234E0" w:rsidRDefault="006F14AB" w:rsidP="006F14AB">
      <w:r w:rsidRPr="009234E0">
        <w:t>Участники программы будут заключать договоры с НПФ. Важно, что кроме добровольных взносов и поддержки от государства пополнить счет можно будет также ранее сформированными пенсионными накоплениями, которые, как мы писали выше, есть у десятков миллионов россиян. Это условие может стать серьезным стимулом для участия в программе: у россиян впервые появляется возможность вывести часть своей обязательной пенсии за пределы государственного периметра — в сферу частных договорных отношений.</w:t>
      </w:r>
    </w:p>
    <w:p w:rsidR="00D1642B" w:rsidRPr="009234E0" w:rsidRDefault="006E678B" w:rsidP="006F14AB">
      <w:hyperlink r:id="rId15" w:history="1">
        <w:r w:rsidR="006F14AB" w:rsidRPr="009234E0">
          <w:rPr>
            <w:rStyle w:val="a3"/>
          </w:rPr>
          <w:t>https://journal.tinkoff.ru/news/npf-profit-2023/</w:t>
        </w:r>
      </w:hyperlink>
      <w:r w:rsidR="006F14AB" w:rsidRPr="009234E0">
        <w:t xml:space="preserve"> </w:t>
      </w:r>
    </w:p>
    <w:p w:rsidR="00747F0F" w:rsidRPr="009234E0" w:rsidRDefault="00747F0F" w:rsidP="00747F0F">
      <w:pPr>
        <w:pStyle w:val="2"/>
      </w:pPr>
      <w:bookmarkStart w:id="29" w:name="А102"/>
      <w:bookmarkStart w:id="30" w:name="_Toc147905647"/>
      <w:r w:rsidRPr="009234E0">
        <w:t>Ваш Пенсионный Брокер, 10.10.2023, НПФ ГАЗФОНД опубликовал информацию о структурах портфелей пенсионных накоплений и пенсионных резервов</w:t>
      </w:r>
      <w:bookmarkEnd w:id="29"/>
      <w:bookmarkEnd w:id="30"/>
    </w:p>
    <w:p w:rsidR="00747F0F" w:rsidRPr="009234E0" w:rsidRDefault="00E635F7" w:rsidP="009234E0">
      <w:pPr>
        <w:pStyle w:val="3"/>
      </w:pPr>
      <w:bookmarkStart w:id="31" w:name="_Toc147905648"/>
      <w:r w:rsidRPr="009234E0">
        <w:t>«</w:t>
      </w:r>
      <w:r w:rsidR="00747F0F" w:rsidRPr="009234E0">
        <w:t>НПФ ГАЗФОНД пенсионные накопления</w:t>
      </w:r>
      <w:r w:rsidRPr="009234E0">
        <w:t>»</w:t>
      </w:r>
      <w:r w:rsidR="00747F0F" w:rsidRPr="009234E0">
        <w:t xml:space="preserve"> опубликовал информацию о структурах инвестиционных портфелей пенсионных накоплений и пенсионных резервов с указанием долей, приходящихся на виды активов, перечисленные в пункте 1 статьи 24.1 Федерального закона </w:t>
      </w:r>
      <w:r w:rsidRPr="009234E0">
        <w:t>«</w:t>
      </w:r>
      <w:r w:rsidR="00747F0F" w:rsidRPr="009234E0">
        <w:t>О негосударственных пенсионных фондах</w:t>
      </w:r>
      <w:r w:rsidRPr="009234E0">
        <w:t>»</w:t>
      </w:r>
      <w:r w:rsidR="00747F0F" w:rsidRPr="009234E0">
        <w:t xml:space="preserve"> (определенные в соответствии со статьей 25 Федерального закона </w:t>
      </w:r>
      <w:r w:rsidRPr="009234E0">
        <w:t>«</w:t>
      </w:r>
      <w:r w:rsidR="00747F0F" w:rsidRPr="009234E0">
        <w:t>О негосударственных пенсионных фондах</w:t>
      </w:r>
      <w:r w:rsidRPr="009234E0">
        <w:t>»</w:t>
      </w:r>
      <w:r w:rsidR="00747F0F" w:rsidRPr="009234E0">
        <w:t>) по состоянию на 30 сентября 2023 г. согласно требованиям Центрального Банка Российской Федерации.</w:t>
      </w:r>
      <w:bookmarkEnd w:id="31"/>
    </w:p>
    <w:p w:rsidR="00747F0F" w:rsidRPr="009234E0" w:rsidRDefault="006E678B" w:rsidP="00747F0F">
      <w:hyperlink r:id="rId16" w:history="1">
        <w:r w:rsidR="00747F0F" w:rsidRPr="009234E0">
          <w:rPr>
            <w:rStyle w:val="a3"/>
          </w:rPr>
          <w:t>http://pbroker.ru/?p=75921</w:t>
        </w:r>
      </w:hyperlink>
      <w:r w:rsidR="00747F0F" w:rsidRPr="009234E0">
        <w:t xml:space="preserve"> </w:t>
      </w:r>
    </w:p>
    <w:p w:rsidR="00D94D15" w:rsidRPr="009234E0" w:rsidRDefault="00D94D15" w:rsidP="00D94D15">
      <w:pPr>
        <w:pStyle w:val="10"/>
      </w:pPr>
      <w:bookmarkStart w:id="32" w:name="_Toc99271691"/>
      <w:bookmarkStart w:id="33" w:name="_Toc99318654"/>
      <w:bookmarkStart w:id="34" w:name="_Toc99318783"/>
      <w:bookmarkStart w:id="35" w:name="_Toc396864672"/>
      <w:bookmarkStart w:id="36" w:name="_Toc147905649"/>
      <w:r w:rsidRPr="009234E0">
        <w:lastRenderedPageBreak/>
        <w:t>Новости развития системы обязательного пенсионного страхования и страховой пенсии</w:t>
      </w:r>
      <w:bookmarkEnd w:id="32"/>
      <w:bookmarkEnd w:id="33"/>
      <w:bookmarkEnd w:id="34"/>
      <w:bookmarkEnd w:id="36"/>
    </w:p>
    <w:p w:rsidR="00B162E0" w:rsidRPr="009234E0" w:rsidRDefault="00B162E0" w:rsidP="00B162E0">
      <w:pPr>
        <w:pStyle w:val="2"/>
      </w:pPr>
      <w:bookmarkStart w:id="37" w:name="А103"/>
      <w:bookmarkStart w:id="38" w:name="_Toc147905650"/>
      <w:r w:rsidRPr="009234E0">
        <w:t>Коммерсантъ, 10.10.2023, Эмилия ГАБДУЛЛИНА, Демографии приказано выжить. В ОП обсудили безопасность страны в свете рождаемости</w:t>
      </w:r>
      <w:bookmarkEnd w:id="37"/>
      <w:bookmarkEnd w:id="38"/>
    </w:p>
    <w:p w:rsidR="00B162E0" w:rsidRPr="009234E0" w:rsidRDefault="00B162E0" w:rsidP="009234E0">
      <w:pPr>
        <w:pStyle w:val="3"/>
      </w:pPr>
      <w:bookmarkStart w:id="39" w:name="_Toc147905651"/>
      <w:r w:rsidRPr="009234E0">
        <w:t>Вчера в Общественной палате (ОП) РФ обсудили стратегию демографической безопасности страны в рамках выполнения профильного указа президента Владимира Путина, утвердившего госполитику по сохранению и укреплению традиционных российских духовно-нравственных ценностей. Низкие цифры рождаемости и увеличение числа абортов заставили собравшихся искать нестандартные решения. В частности, прозвучало предложение наделить генеральными полномочиями по решению демографической проблемы Совет безопасности РФ. А вице-спикер Госдумы Петр Толстой (ЕР) пообещал, что уже весной парламент может принять законопроект о запрете проводить аборты в частных клиниках.</w:t>
      </w:r>
      <w:bookmarkEnd w:id="39"/>
    </w:p>
    <w:p w:rsidR="00B162E0" w:rsidRPr="009234E0" w:rsidRDefault="00B162E0" w:rsidP="00B162E0">
      <w:r w:rsidRPr="009234E0">
        <w:t xml:space="preserve">В ОП РФ состоялись общественные слушания, посвященные разработке стратегии демографической безопасности в свете прошлогоднего президентского указа №809 </w:t>
      </w:r>
      <w:r w:rsidR="00E635F7" w:rsidRPr="009234E0">
        <w:t>«</w:t>
      </w:r>
      <w:r w:rsidRPr="009234E0"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 w:rsidR="00E635F7" w:rsidRPr="009234E0">
        <w:t>»</w:t>
      </w:r>
      <w:r w:rsidRPr="009234E0">
        <w:t>. Члены региональных общественных палат, депутаты Госдумы, представители администрации президента РФ и федеральных органов исполнительной власти, а также некоммерческих организаций обсудили, как разрешить демографическую катастрофу и стимулировать рождаемость.</w:t>
      </w:r>
    </w:p>
    <w:p w:rsidR="00B162E0" w:rsidRPr="009234E0" w:rsidRDefault="00E635F7" w:rsidP="00B162E0">
      <w:r w:rsidRPr="009234E0">
        <w:t>«</w:t>
      </w:r>
      <w:r w:rsidR="00B162E0" w:rsidRPr="009234E0">
        <w:t xml:space="preserve">За шесть лет суммарный коэффициент рождаемости снизился с 1,76 до 1,41. В 2021 году диагноз </w:t>
      </w:r>
      <w:r w:rsidRPr="009234E0">
        <w:t>«</w:t>
      </w:r>
      <w:r w:rsidR="00B162E0" w:rsidRPr="009234E0">
        <w:t>бесплодие</w:t>
      </w:r>
      <w:r w:rsidRPr="009234E0">
        <w:t>»</w:t>
      </w:r>
      <w:r w:rsidR="00B162E0" w:rsidRPr="009234E0">
        <w:t xml:space="preserve"> был поставлен 700 тыс. россиянок, 2011 году — 200 тыс. Ситуация катастрофическая</w:t>
      </w:r>
      <w:r w:rsidRPr="009234E0">
        <w:t>»</w:t>
      </w:r>
      <w:r w:rsidR="00B162E0" w:rsidRPr="009234E0">
        <w:t>,— задал тон и тему дискуссии первый заместитель председателя комиссии ОП по демографии, семье и детям Павел Пожигайло, открывая мероприятие.</w:t>
      </w:r>
    </w:p>
    <w:p w:rsidR="00B162E0" w:rsidRPr="009234E0" w:rsidRDefault="00E635F7" w:rsidP="00B162E0">
      <w:r w:rsidRPr="009234E0">
        <w:t>«</w:t>
      </w:r>
      <w:r w:rsidR="00B162E0" w:rsidRPr="009234E0">
        <w:t xml:space="preserve">То, что демографическая проблема есть, ни для кого не секрет,— подтвердила вице-спикер Госдумы Анна Кузнецова (ЕР).— Реализация национальной программы </w:t>
      </w:r>
      <w:r w:rsidRPr="009234E0">
        <w:t>«</w:t>
      </w:r>
      <w:r w:rsidR="00B162E0" w:rsidRPr="009234E0">
        <w:t>Демография</w:t>
      </w:r>
      <w:r w:rsidRPr="009234E0">
        <w:t>»</w:t>
      </w:r>
      <w:r w:rsidR="00B162E0" w:rsidRPr="009234E0">
        <w:t xml:space="preserve"> не решает проблему убыли населения, не повышает рождаемость. Число родившихся за прошлый год уменьшилось на 7%. Что касается абортов, формально цифры сокращаются</w:t>
      </w:r>
      <w:r w:rsidRPr="009234E0">
        <w:t>»</w:t>
      </w:r>
      <w:r w:rsidR="00B162E0" w:rsidRPr="009234E0">
        <w:t xml:space="preserve">. Отметив с удовлетворением сокращение числа абортов в госклиниках, депутат обратила внимание, что </w:t>
      </w:r>
      <w:r w:rsidRPr="009234E0">
        <w:t>«</w:t>
      </w:r>
      <w:r w:rsidR="00B162E0" w:rsidRPr="009234E0">
        <w:t>число абортов в частных клиниках растет</w:t>
      </w:r>
      <w:r w:rsidRPr="009234E0">
        <w:t>»</w:t>
      </w:r>
      <w:r w:rsidR="00B162E0" w:rsidRPr="009234E0">
        <w:t xml:space="preserve">. Основная проблема низкой рождаемости, полагает госпожа Кузнецова, связана не с уровнем жизни населения: </w:t>
      </w:r>
      <w:r w:rsidRPr="009234E0">
        <w:t>«</w:t>
      </w:r>
      <w:r w:rsidR="00B162E0" w:rsidRPr="009234E0">
        <w:t>В послевоенные годы коэффициент рождаемости в стране был 5,4. И это в разрушенной стране</w:t>
      </w:r>
      <w:r w:rsidRPr="009234E0">
        <w:t>»</w:t>
      </w:r>
      <w:r w:rsidR="00B162E0" w:rsidRPr="009234E0">
        <w:t>.</w:t>
      </w:r>
    </w:p>
    <w:p w:rsidR="00B162E0" w:rsidRPr="009234E0" w:rsidRDefault="00B162E0" w:rsidP="00B162E0">
      <w:r w:rsidRPr="009234E0">
        <w:t xml:space="preserve">Директор Российского научно-исследовательского института культурного и природного наследия им. Д. С. Лихачева Владимир Аристархов указал в этой связи, что ставка в вопросах решения демографической проблемы делалась на профильный указ президента. Однако, с сожалением заметил он, до сих пор плана реализации документа ведомствами нет. </w:t>
      </w:r>
      <w:r w:rsidR="00E635F7" w:rsidRPr="009234E0">
        <w:t>«</w:t>
      </w:r>
      <w:r w:rsidRPr="009234E0">
        <w:t>Также нет органа, который взял бы на себя ответственность за реализацию демографической политики,— недоумевал господин Аристархов.— Мне кажется, этими полномочиями мог бы быть наделен Совет безопасности РФ</w:t>
      </w:r>
      <w:r w:rsidR="00E635F7" w:rsidRPr="009234E0">
        <w:t>»</w:t>
      </w:r>
      <w:r w:rsidRPr="009234E0">
        <w:t>.</w:t>
      </w:r>
    </w:p>
    <w:p w:rsidR="00B162E0" w:rsidRPr="009234E0" w:rsidRDefault="00B162E0" w:rsidP="00B162E0">
      <w:r w:rsidRPr="009234E0">
        <w:lastRenderedPageBreak/>
        <w:t xml:space="preserve">Вице-спикер Госдумы Петр Толстой признал, что конкретных критериев исполнения указа президента в настоящий момент нет. </w:t>
      </w:r>
      <w:r w:rsidR="00E635F7" w:rsidRPr="009234E0">
        <w:t>«</w:t>
      </w:r>
      <w:r w:rsidRPr="009234E0">
        <w:t>Их нет по одной простой причине — в России нет идеологии</w:t>
      </w:r>
      <w:r w:rsidR="00E635F7" w:rsidRPr="009234E0">
        <w:t>»</w:t>
      </w:r>
      <w:r w:rsidRPr="009234E0">
        <w:t xml:space="preserve">,— объяснил парламентарий. При этом депутаты Госдумы, по словам господина Толстого, продолжают разрабатывать инициативы о сокращении легального пространства абортов: </w:t>
      </w:r>
      <w:r w:rsidR="00E635F7" w:rsidRPr="009234E0">
        <w:t>«</w:t>
      </w:r>
      <w:r w:rsidRPr="009234E0">
        <w:t>Мы будем добиваться законодательного решения о выведении абортов из частных клиник. Постараемся весной принять (соответствующий законопроект.— “Ъ”)</w:t>
      </w:r>
      <w:r w:rsidR="00E635F7" w:rsidRPr="009234E0">
        <w:t>»</w:t>
      </w:r>
      <w:r w:rsidRPr="009234E0">
        <w:t xml:space="preserve">. Напомним, в январе 2023 года подобное предложение было высказано патриархом Московским и всея Руси Кириллом, позже инициативу поддержали Петр Толстой и Анна Кузнецова. </w:t>
      </w:r>
      <w:r w:rsidR="00E635F7" w:rsidRPr="009234E0">
        <w:t>«</w:t>
      </w:r>
      <w:r w:rsidRPr="009234E0">
        <w:t>Повсюду вранье по статистике. Минздрав оперирует цифрами, которые ни о чем не говорят. Их (абортов.— “Ъ”) не 400 тыс. Их, может, 700 тыс., но они делаются в коммерческих клиниках, которые не предоставляют отчеты</w:t>
      </w:r>
      <w:r w:rsidR="00E635F7" w:rsidRPr="009234E0">
        <w:t>»</w:t>
      </w:r>
      <w:r w:rsidRPr="009234E0">
        <w:t>,— возмутился депутат.</w:t>
      </w:r>
    </w:p>
    <w:p w:rsidR="00B162E0" w:rsidRPr="009234E0" w:rsidRDefault="00E635F7" w:rsidP="00B162E0">
      <w:r w:rsidRPr="009234E0">
        <w:t>«</w:t>
      </w:r>
      <w:r w:rsidR="00B162E0" w:rsidRPr="009234E0">
        <w:t>Тема запрета не должна пугать. Китай совершенно не испугался ограничений и два года назад отменил аборты по желанию, понимая, к чему это приведет,— поддержал председатель патриаршей комиссии по вопросам семьи, защиты материнства и детства иерей Федор Лукьянов.— Количество нарушений в частных клиниках зашкаливает. Никакой недели тишины они не выдерживают</w:t>
      </w:r>
      <w:r w:rsidRPr="009234E0">
        <w:t>»</w:t>
      </w:r>
      <w:r w:rsidR="00B162E0" w:rsidRPr="009234E0">
        <w:t>.</w:t>
      </w:r>
    </w:p>
    <w:p w:rsidR="00B162E0" w:rsidRPr="009234E0" w:rsidRDefault="00B162E0" w:rsidP="00B162E0">
      <w:r w:rsidRPr="009234E0">
        <w:t>Первый зампред комитета по вопросам семьи, женщин и детей Татьяна Буцкая (</w:t>
      </w:r>
      <w:r w:rsidR="00E635F7" w:rsidRPr="009234E0">
        <w:t>«</w:t>
      </w:r>
      <w:r w:rsidRPr="009234E0">
        <w:t>Единая Россия</w:t>
      </w:r>
      <w:r w:rsidR="00E635F7" w:rsidRPr="009234E0">
        <w:t>»</w:t>
      </w:r>
      <w:r w:rsidRPr="009234E0">
        <w:t xml:space="preserve">) неожиданно призвала </w:t>
      </w:r>
      <w:r w:rsidR="00E635F7" w:rsidRPr="009234E0">
        <w:t>«</w:t>
      </w:r>
      <w:r w:rsidRPr="009234E0">
        <w:t>перестать закручивать гайки</w:t>
      </w:r>
      <w:r w:rsidR="00E635F7" w:rsidRPr="009234E0">
        <w:t>»</w:t>
      </w:r>
      <w:r w:rsidRPr="009234E0">
        <w:t xml:space="preserve"> и </w:t>
      </w:r>
      <w:r w:rsidR="00E635F7" w:rsidRPr="009234E0">
        <w:t>«</w:t>
      </w:r>
      <w:r w:rsidRPr="009234E0">
        <w:t>устрашать</w:t>
      </w:r>
      <w:r w:rsidR="00E635F7" w:rsidRPr="009234E0">
        <w:t>»</w:t>
      </w:r>
      <w:r w:rsidRPr="009234E0">
        <w:t xml:space="preserve"> беременную женщину. </w:t>
      </w:r>
      <w:r w:rsidR="00E635F7" w:rsidRPr="009234E0">
        <w:t>«</w:t>
      </w:r>
      <w:r w:rsidRPr="009234E0">
        <w:t>Она находится в состоянии репродуктивного выбора не потому, что она плохая, не потому, что она хочет сделать этот аборт,— объяснила госпожа Буцкая.— Она понимает, что она идет на ужасный шаг, но у нее в жизни так сложились обстоятельства. У нас есть неделя тишины, мы должны сосредоточиться на том, как все работает внутри. Давайте прекратим запрещать и пугать, давайте помогать. В каждой ли женской консультации есть психолог? Мы сейчас запрещаем и ограничиваем, а помощь везде ли есть?</w:t>
      </w:r>
      <w:r w:rsidR="00E635F7" w:rsidRPr="009234E0">
        <w:t>»</w:t>
      </w:r>
    </w:p>
    <w:p w:rsidR="00B162E0" w:rsidRPr="009234E0" w:rsidRDefault="00B162E0" w:rsidP="00B162E0">
      <w:r w:rsidRPr="009234E0">
        <w:t xml:space="preserve">Обсудили присутствующие и необходимость поддерживать многодетные семьи. </w:t>
      </w:r>
      <w:r w:rsidR="00E635F7" w:rsidRPr="009234E0">
        <w:t>«</w:t>
      </w:r>
      <w:r w:rsidRPr="009234E0">
        <w:t xml:space="preserve">Единственная категория, которая не снизила рождаемость,— многодетные семьи. Стимулировать нужно большую семью. Нужно ввести федеральное пособие на каждого ребенка, как это было,— предложила руководитель региональной общественной организации </w:t>
      </w:r>
      <w:r w:rsidR="00E635F7" w:rsidRPr="009234E0">
        <w:t>«</w:t>
      </w:r>
      <w:r w:rsidRPr="009234E0">
        <w:t>Объединение многодетных семей города Москвы</w:t>
      </w:r>
      <w:r w:rsidR="00E635F7" w:rsidRPr="009234E0">
        <w:t>»</w:t>
      </w:r>
      <w:r w:rsidRPr="009234E0">
        <w:t xml:space="preserve"> Наталья Карпович.—У меня шесть детей своих и один приемный. Я не понимаю, почему по своим детям я ничего не получаю, а за приемного ребенка я получаю. И при этом, к сожалению, как были 700 тыс. детей сиротами, так и остаются сиротами — эта проблема не решается. Мы говорим, что мы закрыли международное усыновление, а что происходит внутри страны?</w:t>
      </w:r>
      <w:r w:rsidR="00E635F7" w:rsidRPr="009234E0">
        <w:t>»</w:t>
      </w:r>
    </w:p>
    <w:p w:rsidR="00B162E0" w:rsidRPr="009234E0" w:rsidRDefault="006E678B" w:rsidP="00B162E0">
      <w:hyperlink r:id="rId17" w:history="1">
        <w:r w:rsidR="00B162E0" w:rsidRPr="009234E0">
          <w:rPr>
            <w:rStyle w:val="a3"/>
          </w:rPr>
          <w:t>https://www.kommersant.ru/doc/6266585</w:t>
        </w:r>
      </w:hyperlink>
      <w:r w:rsidR="00B162E0" w:rsidRPr="009234E0">
        <w:t xml:space="preserve"> </w:t>
      </w:r>
    </w:p>
    <w:p w:rsidR="00EB2AB7" w:rsidRPr="009234E0" w:rsidRDefault="00EB2AB7" w:rsidP="00EB2AB7">
      <w:pPr>
        <w:pStyle w:val="2"/>
      </w:pPr>
      <w:bookmarkStart w:id="40" w:name="А104"/>
      <w:bookmarkStart w:id="41" w:name="_Toc147905652"/>
      <w:r w:rsidRPr="009234E0">
        <w:lastRenderedPageBreak/>
        <w:t>Парламентская газета, 10.10.2023, Пенсии россиян растут, но отстают от международных норм</w:t>
      </w:r>
      <w:bookmarkEnd w:id="40"/>
      <w:bookmarkEnd w:id="41"/>
    </w:p>
    <w:p w:rsidR="00EB2AB7" w:rsidRPr="009234E0" w:rsidRDefault="00EB2AB7" w:rsidP="009234E0">
      <w:pPr>
        <w:pStyle w:val="3"/>
      </w:pPr>
      <w:bookmarkStart w:id="42" w:name="_Toc147905653"/>
      <w:r w:rsidRPr="009234E0">
        <w:t xml:space="preserve">Размер пенсий нужно повысить до сорока процентов утраченного после выхода на заслуженный отдых заработка, как это закреплено </w:t>
      </w:r>
      <w:r w:rsidR="00E635F7" w:rsidRPr="009234E0">
        <w:t>«</w:t>
      </w:r>
      <w:r w:rsidRPr="009234E0">
        <w:t>Стратегией долгосрочного развития пенсионной системы Российской Федерации</w:t>
      </w:r>
      <w:r w:rsidR="00E635F7" w:rsidRPr="009234E0">
        <w:t>»</w:t>
      </w:r>
      <w:r w:rsidRPr="009234E0">
        <w:t xml:space="preserve"> и Конвенцией № 102 Международной организации труда. Так считает доктор экономических наук, профессор, главный научный сотрудник Института демографических исследований Федерального научно-исследовательского социологического центра РАН Алексей Кашепов. </w:t>
      </w:r>
      <w:r w:rsidR="00E635F7" w:rsidRPr="009234E0">
        <w:t>«</w:t>
      </w:r>
      <w:r w:rsidRPr="009234E0">
        <w:t>Парламентская газета</w:t>
      </w:r>
      <w:r w:rsidR="00E635F7" w:rsidRPr="009234E0">
        <w:t>»</w:t>
      </w:r>
      <w:r w:rsidRPr="009234E0">
        <w:t xml:space="preserve"> изучила его материал в последнем номере журнала </w:t>
      </w:r>
      <w:r w:rsidR="00E635F7" w:rsidRPr="009234E0">
        <w:t>«</w:t>
      </w:r>
      <w:r w:rsidRPr="009234E0">
        <w:t>Социально-трудовые исследования</w:t>
      </w:r>
      <w:r w:rsidR="00E635F7" w:rsidRPr="009234E0">
        <w:t>»</w:t>
      </w:r>
      <w:r w:rsidRPr="009234E0">
        <w:t xml:space="preserve"> ВНИИ труда, посвященный предварительным результатам пенсионной реформы.</w:t>
      </w:r>
      <w:bookmarkEnd w:id="42"/>
    </w:p>
    <w:p w:rsidR="00EB2AB7" w:rsidRPr="009234E0" w:rsidRDefault="00EB2AB7" w:rsidP="00EB2AB7">
      <w:r w:rsidRPr="009234E0">
        <w:t>Трудоспособных больше, но ненамного</w:t>
      </w:r>
    </w:p>
    <w:p w:rsidR="00EB2AB7" w:rsidRPr="009234E0" w:rsidRDefault="00EB2AB7" w:rsidP="00EB2AB7">
      <w:r w:rsidRPr="009234E0">
        <w:t>Больше всего жителей в возрасте 65 лет и старше в Японии — 29,2 процента, Германии — 23, Греции — 22,4, Финляндии — 22,3 и Италии — 22,1. Средняя продолжительность жизни там приближается к 85 годам, а пенсионный возраст для мужчин превышает 65 лет. Россия в этом списке на 46-м месте. В 2020 году у нас таких людей было 15,5 процента, ожидаемая продолжительность жизни 70,1 года, а пенсионный возраст мужчин — 62.</w:t>
      </w:r>
    </w:p>
    <w:p w:rsidR="00EB2AB7" w:rsidRPr="009234E0" w:rsidRDefault="00EB2AB7" w:rsidP="00EB2AB7">
      <w:r w:rsidRPr="009234E0">
        <w:t xml:space="preserve">Автор исследования </w:t>
      </w:r>
      <w:r w:rsidR="00E635F7" w:rsidRPr="009234E0">
        <w:t>«</w:t>
      </w:r>
      <w:r w:rsidRPr="009234E0">
        <w:t>Пенсионная реформа: предварительные результаты и оценка их влияния на экономическое положение старших возрастных групп населения</w:t>
      </w:r>
      <w:r w:rsidR="00E635F7" w:rsidRPr="009234E0">
        <w:t>»</w:t>
      </w:r>
      <w:r w:rsidRPr="009234E0">
        <w:t xml:space="preserve"> Алексей Кашепов обратил внимание, что в 2000-х на фоне роста экономики увеличивалась и доля пожилых. В 2018 году трудовой потенциал опустился до минимального за постсоветский период показателя — 81,4 миллиона человек против 90,2 в 2005-м. На тысячу трудоспособных россиян в 2019 году приходилось 804 человека нетрудоспособного возраста — детей и престарелых, а в 1989-м их было 755.</w:t>
      </w:r>
    </w:p>
    <w:p w:rsidR="00EB2AB7" w:rsidRPr="009234E0" w:rsidRDefault="00EB2AB7" w:rsidP="00EB2AB7">
      <w:r w:rsidRPr="009234E0">
        <w:t>Экономические проблемы, резкое снижение численности работающих и увеличение на них демографической нагрузки, хронический дефицит Пенсионного фонда привели к тому, что впервые за несколько десятков лет в нашей стране начали пенсионную реформу. Федеральный закон № 350-ФЗ от 3 октября 2018 года предписал повышение пенсионного возраста мужчин до 65 лет и до 60 — женщин с 2019 по 2023 годы. Позже появился другой график, уже на десять лет. Сейчас возраст выхода на пенсию для мужчин 61,5 года, женщин — 56,5, в 2024 году он составит 63 и 58 лет соответственно, в 2026-м — 64 и 59, в 2028-м — 65 и 60.</w:t>
      </w:r>
    </w:p>
    <w:p w:rsidR="00EB2AB7" w:rsidRPr="009234E0" w:rsidRDefault="00EB2AB7" w:rsidP="00EB2AB7">
      <w:r w:rsidRPr="009234E0">
        <w:t>На деле же, считает автор статьи, расчеты Росстата по глобальному приросту трудоспособного населения не оправдались: в 2018-2021 годах — 83,2 миллиона человек против прежних 81,4. Незначительно упало и количество пенсионеров — с 46,5 миллиона человек в 2019 году до 44,7 миллиона к 2022-му.</w:t>
      </w:r>
    </w:p>
    <w:p w:rsidR="00EB2AB7" w:rsidRPr="009234E0" w:rsidRDefault="00EB2AB7" w:rsidP="00EB2AB7">
      <w:r w:rsidRPr="009234E0">
        <w:t>Пенсии по-прежнему не дотягивают до Европы</w:t>
      </w:r>
    </w:p>
    <w:p w:rsidR="00EB2AB7" w:rsidRPr="009234E0" w:rsidRDefault="00E635F7" w:rsidP="00EB2AB7">
      <w:r w:rsidRPr="009234E0">
        <w:t>«</w:t>
      </w:r>
      <w:r w:rsidR="00EB2AB7" w:rsidRPr="009234E0">
        <w:t>Стратегия долгосрочного развития пенсионной системы Российской Федерации</w:t>
      </w:r>
      <w:r w:rsidRPr="009234E0">
        <w:t>»</w:t>
      </w:r>
      <w:r w:rsidR="00EB2AB7" w:rsidRPr="009234E0">
        <w:t>, принятая в 2012 году, предусматривала, что к 2030 году средний размер пенсии должен был составить 2,5-3 прожиточных минимума. Однако в 2019-2021 годах это соотношение выросло лишь на 0,09 — с 1,57 до 1,66.</w:t>
      </w:r>
    </w:p>
    <w:p w:rsidR="00EB2AB7" w:rsidRPr="009234E0" w:rsidRDefault="00EB2AB7" w:rsidP="00EB2AB7">
      <w:r w:rsidRPr="009234E0">
        <w:lastRenderedPageBreak/>
        <w:t>Материальное положение российских пенсионеров пока не в лучшую сторону отличается от международных стандартов. Конвенция № 102 Международной организации труда (МОТ), заключенная в 1952 году, устанавливает, что пенсия по старости не должна быть меньше 40 процентов утраченного заработка. В странах Европейского союза коэффициент замещения пенсией средней зарплаты значительно превышает требования МОТ. Европейский кодекс социального обеспечения, принятый в 1990 году, содержит нормативы:</w:t>
      </w:r>
    </w:p>
    <w:p w:rsidR="00EB2AB7" w:rsidRPr="009234E0" w:rsidRDefault="00EB2AB7" w:rsidP="00EB2AB7">
      <w:r w:rsidRPr="009234E0">
        <w:t xml:space="preserve">    50 процентов — для одинокого пенсионера;</w:t>
      </w:r>
    </w:p>
    <w:p w:rsidR="00EB2AB7" w:rsidRPr="009234E0" w:rsidRDefault="00EB2AB7" w:rsidP="00EB2AB7">
      <w:r w:rsidRPr="009234E0">
        <w:t xml:space="preserve">    65 процентов — для пенсионера, у которого есть иждивенцы.</w:t>
      </w:r>
    </w:p>
    <w:p w:rsidR="00EB2AB7" w:rsidRPr="009234E0" w:rsidRDefault="00EB2AB7" w:rsidP="00EB2AB7">
      <w:r w:rsidRPr="009234E0">
        <w:t>Как следует из исследования, в России максимума в 35,2 процента этот показатель достиг в 2015 году, а после реформы сдал позиции ниже 30 процентов.</w:t>
      </w:r>
    </w:p>
    <w:p w:rsidR="00EB2AB7" w:rsidRPr="009234E0" w:rsidRDefault="00E635F7" w:rsidP="00EB2AB7">
      <w:r w:rsidRPr="009234E0">
        <w:t>«</w:t>
      </w:r>
      <w:r w:rsidR="00EB2AB7" w:rsidRPr="009234E0">
        <w:t>Размер пенсии в реальном исчислении после 2018 года преодолел тенденцию сокращения, которое в 2015-2016 годах было вызвано первой волной санкционного кризиса, тем не менее по сравнению с прожиточным минимумом пенсионера и со средней заработной платой его рост совершенно недостаточен</w:t>
      </w:r>
      <w:r w:rsidRPr="009234E0">
        <w:t>»</w:t>
      </w:r>
      <w:r w:rsidR="00EB2AB7" w:rsidRPr="009234E0">
        <w:t>, — заключает Кашепов.</w:t>
      </w:r>
    </w:p>
    <w:p w:rsidR="00EB2AB7" w:rsidRPr="009234E0" w:rsidRDefault="00EB2AB7" w:rsidP="00EB2AB7">
      <w:r w:rsidRPr="009234E0">
        <w:t>Хотя, конечно, все относительно. Если в 2018 году размер средней страховой пенсии по старости составлял около 14 тысяч рублей, то в 2023 году — больше 20 тысяч рублей.</w:t>
      </w:r>
    </w:p>
    <w:p w:rsidR="00EB2AB7" w:rsidRPr="009234E0" w:rsidRDefault="00E635F7" w:rsidP="00EB2AB7">
      <w:r w:rsidRPr="009234E0">
        <w:t>«</w:t>
      </w:r>
      <w:r w:rsidR="00EB2AB7" w:rsidRPr="009234E0">
        <w:t>На сегодняшний день самое главное достижение этих преобразований — что средняя страховая пенсия по старости неработающих пенсионеров уже находится на уровне, который планировали достигнуть к 2024 году. Сегодня ее размер составляет около 22 тысяч рублей</w:t>
      </w:r>
      <w:r w:rsidRPr="009234E0">
        <w:t>»</w:t>
      </w:r>
      <w:r w:rsidR="00EB2AB7" w:rsidRPr="009234E0">
        <w:t xml:space="preserve">, — сказала ранее </w:t>
      </w:r>
      <w:r w:rsidRPr="009234E0">
        <w:t>«</w:t>
      </w:r>
      <w:r w:rsidR="00EB2AB7" w:rsidRPr="009234E0">
        <w:t>Парламентской газете</w:t>
      </w:r>
      <w:r w:rsidRPr="009234E0">
        <w:t>»</w:t>
      </w:r>
      <w:r w:rsidR="00EB2AB7" w:rsidRPr="009234E0">
        <w:t xml:space="preserve"> член Комитета Госдумы по труду, социальной политике и делам ветеранов Светлана Бессараб.</w:t>
      </w:r>
    </w:p>
    <w:p w:rsidR="00EB2AB7" w:rsidRPr="009234E0" w:rsidRDefault="00EB2AB7" w:rsidP="00EB2AB7">
      <w:r w:rsidRPr="009234E0">
        <w:t>Работать на заслуженном отдыхе стало невыгодно</w:t>
      </w:r>
    </w:p>
    <w:p w:rsidR="00EB2AB7" w:rsidRPr="009234E0" w:rsidRDefault="00EB2AB7" w:rsidP="00EB2AB7">
      <w:r w:rsidRPr="009234E0">
        <w:t>Правила индексации пенсий работающим пенсионерам и другие условия их занятости изменились в 2016 году. Реформа внесла коррективы: в 2019-2022 годах продолживших работать на заслуженном отдыхе стало меньше на 12 процентов — 8,5 миллиона вместо 9,7.</w:t>
      </w:r>
    </w:p>
    <w:p w:rsidR="00EB2AB7" w:rsidRPr="009234E0" w:rsidRDefault="00E635F7" w:rsidP="00EB2AB7">
      <w:r w:rsidRPr="009234E0">
        <w:t>«</w:t>
      </w:r>
      <w:r w:rsidR="00EB2AB7" w:rsidRPr="009234E0">
        <w:t>В социально-экономическом статусе работников в возрастном диапазоне 55-65 лет, на которых уже распространились новые нормы, произошло только одно изменение — невозможность совмещать официальную работу с получением индексированной пенсии, которое было доступно работникам предшествующих поколений</w:t>
      </w:r>
      <w:r w:rsidRPr="009234E0">
        <w:t>»</w:t>
      </w:r>
      <w:r w:rsidR="00EB2AB7" w:rsidRPr="009234E0">
        <w:t>, — делает вывод Алексей Кашепов.</w:t>
      </w:r>
    </w:p>
    <w:p w:rsidR="00EB2AB7" w:rsidRPr="009234E0" w:rsidRDefault="00EB2AB7" w:rsidP="00EB2AB7">
      <w:r w:rsidRPr="009234E0">
        <w:t xml:space="preserve">По его мнению, </w:t>
      </w:r>
      <w:r w:rsidR="00E635F7" w:rsidRPr="009234E0">
        <w:t>«</w:t>
      </w:r>
      <w:r w:rsidRPr="009234E0">
        <w:t>гибридная</w:t>
      </w:r>
      <w:r w:rsidR="00E635F7" w:rsidRPr="009234E0">
        <w:t>»</w:t>
      </w:r>
      <w:r w:rsidRPr="009234E0">
        <w:t xml:space="preserve"> бюджетно-страховая пенсионная система и после реформирования не обеспечивает пенсионерам доход, который не менее чем на 40 процентов заместил бы выпадающую зарплату. Нужно не менять формальные законодательные основы пенсионной системы, а признать ее бюджетный характер, а не страховой, считает автор исследования. Размер пенсий должен соотноситься с зарплатами работающих и доходами бизнеса, увеличиваться не разово, а на основе долгосрочной федеральной программы и с опережением инфляции, подытожил ученый.</w:t>
      </w:r>
    </w:p>
    <w:p w:rsidR="00EB2AB7" w:rsidRPr="009234E0" w:rsidRDefault="00EB2AB7" w:rsidP="00EB2AB7">
      <w:r w:rsidRPr="009234E0">
        <w:t>Что важно помнить будущим пенсионерам</w:t>
      </w:r>
    </w:p>
    <w:p w:rsidR="00EB2AB7" w:rsidRPr="009234E0" w:rsidRDefault="00EB2AB7" w:rsidP="00EB2AB7">
      <w:r w:rsidRPr="009234E0">
        <w:t>Пенсию по старости назначают при:</w:t>
      </w:r>
    </w:p>
    <w:p w:rsidR="00EB2AB7" w:rsidRPr="009234E0" w:rsidRDefault="00EB2AB7" w:rsidP="00EB2AB7">
      <w:r w:rsidRPr="009234E0">
        <w:lastRenderedPageBreak/>
        <w:t xml:space="preserve">    достижении пенсионного возраста;</w:t>
      </w:r>
    </w:p>
    <w:p w:rsidR="00EB2AB7" w:rsidRPr="009234E0" w:rsidRDefault="00EB2AB7" w:rsidP="00EB2AB7">
      <w:r w:rsidRPr="009234E0">
        <w:t xml:space="preserve">    наличии страхового стажа;</w:t>
      </w:r>
    </w:p>
    <w:p w:rsidR="00EB2AB7" w:rsidRPr="009234E0" w:rsidRDefault="00EB2AB7" w:rsidP="00EB2AB7">
      <w:r w:rsidRPr="009234E0">
        <w:t xml:space="preserve">    получении нужного количества пенсионных коэффициентов.</w:t>
      </w:r>
    </w:p>
    <w:p w:rsidR="00EB2AB7" w:rsidRPr="009234E0" w:rsidRDefault="00EB2AB7" w:rsidP="00EB2AB7">
      <w:r w:rsidRPr="009234E0">
        <w:t>В 2019 году требовалось не менее 10 лет стажа и 16,2 пенсионного коэффициента, в 2023-м — необходимо 14 лет стажа и 25,8 пенсионного коэффициента. В 2024-м — 15 лет и 28,2 соответственно.</w:t>
      </w:r>
    </w:p>
    <w:p w:rsidR="00EB2AB7" w:rsidRPr="009234E0" w:rsidRDefault="00EB2AB7" w:rsidP="00EB2AB7">
      <w:r w:rsidRPr="009234E0">
        <w:t>Социальный фонд при подсчете стажа до 2002 года учитывает работу, подтвержденную записью в трудовой книжке или справкой о работе. После 2002-го этого мало. В зачет идет только время, когда работодатель отчислял страховые взносы в Пенсионный, а теперь в Соцфонд.</w:t>
      </w:r>
    </w:p>
    <w:p w:rsidR="00EB2AB7" w:rsidRPr="009234E0" w:rsidRDefault="00EB2AB7" w:rsidP="00EB2AB7">
      <w:r w:rsidRPr="009234E0">
        <w:t>Принимают во внимание и нестраховые периоды:</w:t>
      </w:r>
    </w:p>
    <w:p w:rsidR="00EB2AB7" w:rsidRPr="009234E0" w:rsidRDefault="00EB2AB7" w:rsidP="00EB2AB7">
      <w:r w:rsidRPr="009234E0">
        <w:t xml:space="preserve">    службу в армии;</w:t>
      </w:r>
    </w:p>
    <w:p w:rsidR="00EB2AB7" w:rsidRPr="009234E0" w:rsidRDefault="00EB2AB7" w:rsidP="00EB2AB7">
      <w:r w:rsidRPr="009234E0">
        <w:t xml:space="preserve">    уход за ребенком до полутора лет;</w:t>
      </w:r>
    </w:p>
    <w:p w:rsidR="00EB2AB7" w:rsidRPr="009234E0" w:rsidRDefault="00EB2AB7" w:rsidP="00EB2AB7">
      <w:r w:rsidRPr="009234E0">
        <w:t xml:space="preserve">    уход за престарелыми, инвалидами I группы;</w:t>
      </w:r>
    </w:p>
    <w:p w:rsidR="00EB2AB7" w:rsidRPr="009234E0" w:rsidRDefault="00EB2AB7" w:rsidP="00EB2AB7">
      <w:r w:rsidRPr="009234E0">
        <w:t xml:space="preserve">    признания безработным и постановки на учет в службе занятости.</w:t>
      </w:r>
    </w:p>
    <w:p w:rsidR="00EB2AB7" w:rsidRPr="009234E0" w:rsidRDefault="006E678B" w:rsidP="00EB2AB7">
      <w:hyperlink r:id="rId18" w:history="1">
        <w:r w:rsidR="00EB2AB7" w:rsidRPr="009234E0">
          <w:rPr>
            <w:rStyle w:val="a3"/>
          </w:rPr>
          <w:t>https://www.pnp.ru/social/pensii-rossiyan-rastut-no-otstayut-ot-mezhdunarodnykh-norm.html</w:t>
        </w:r>
      </w:hyperlink>
      <w:r w:rsidR="00EB2AB7" w:rsidRPr="009234E0">
        <w:t xml:space="preserve"> </w:t>
      </w:r>
    </w:p>
    <w:p w:rsidR="008F58F2" w:rsidRPr="009234E0" w:rsidRDefault="008F58F2" w:rsidP="008F58F2">
      <w:pPr>
        <w:pStyle w:val="2"/>
      </w:pPr>
      <w:bookmarkStart w:id="43" w:name="А105"/>
      <w:bookmarkStart w:id="44" w:name="_Toc147905654"/>
      <w:r w:rsidRPr="009234E0">
        <w:t>Парламентская газета, 10.10.2023, Школкина разработала законопроект о дополнительной соцподдержке опекунов</w:t>
      </w:r>
      <w:bookmarkEnd w:id="43"/>
      <w:bookmarkEnd w:id="44"/>
    </w:p>
    <w:p w:rsidR="008F58F2" w:rsidRPr="009234E0" w:rsidRDefault="008F58F2" w:rsidP="009234E0">
      <w:pPr>
        <w:pStyle w:val="3"/>
      </w:pPr>
      <w:bookmarkStart w:id="45" w:name="_Toc147905655"/>
      <w:r w:rsidRPr="009234E0">
        <w:t>Первый заместитель председателя Комитета Государственной Думы по экономической политике Надежда Школкина (</w:t>
      </w:r>
      <w:r w:rsidR="00E635F7" w:rsidRPr="009234E0">
        <w:t>«</w:t>
      </w:r>
      <w:r w:rsidRPr="009234E0">
        <w:t>Единая Россия</w:t>
      </w:r>
      <w:r w:rsidR="00E635F7" w:rsidRPr="009234E0">
        <w:t>»</w:t>
      </w:r>
      <w:r w:rsidRPr="009234E0">
        <w:t>) разработала законопроект, направленный на повышение мер соцподдержки граждан, являющихся опекунами (попечителями) нетрудоспособных лиц. Документ внесут в Госдуму 10 октября, сообщили в пресс-службе депутата.</w:t>
      </w:r>
      <w:bookmarkEnd w:id="45"/>
    </w:p>
    <w:p w:rsidR="008F58F2" w:rsidRPr="009234E0" w:rsidRDefault="008F58F2" w:rsidP="008F58F2">
      <w:r w:rsidRPr="009234E0">
        <w:t xml:space="preserve">Школкина отметила, что возникают случаи, когда опеку над несовершеннолетним осуществляет прадедушка или прабабушка. Это может произойти, например, из-за смерти обоих родителей, лишения родительских прав, признания родителей недееспособными, их болезни или длительного отсутствия. Законопроектом предлагается дополнить Федеральный закон </w:t>
      </w:r>
      <w:r w:rsidR="00E635F7" w:rsidRPr="009234E0">
        <w:t>«</w:t>
      </w:r>
      <w:r w:rsidRPr="009234E0">
        <w:t>О страховых пенсиях</w:t>
      </w:r>
      <w:r w:rsidR="00E635F7" w:rsidRPr="009234E0">
        <w:t>»</w:t>
      </w:r>
      <w:r w:rsidRPr="009234E0">
        <w:t xml:space="preserve"> частями, что право на повышенную фиксированную выплату к страховой пенсии по старости и к страховой пенсии по инвалидности имеют прадедушки и прабабушки, которые являются опекунами (попечителями) правнуков, не достигших 18 лет, либо достигших 18 лет и признанных недееспособными.</w:t>
      </w:r>
    </w:p>
    <w:p w:rsidR="008F58F2" w:rsidRPr="009234E0" w:rsidRDefault="008F58F2" w:rsidP="008F58F2">
      <w:r w:rsidRPr="009234E0">
        <w:t>С 1 января 2023 года размер указанной фиксированной выплаты составляет 7567,33 рубля. По предварительным данным Соцфонда и органов местного самоуправления, в России насчитывается 0,55 тысячи прадедушек и прабабушек, которые являются опекунами правнуков, не достигших возраста 18 лет, либо достигших возраста 18 лет и признанных судом недееспособными.</w:t>
      </w:r>
    </w:p>
    <w:p w:rsidR="008F58F2" w:rsidRPr="009234E0" w:rsidRDefault="008F58F2" w:rsidP="008F58F2">
      <w:r w:rsidRPr="009234E0">
        <w:t xml:space="preserve">Сейчас по закону опекунами несовершеннолетнего сироты или совершеннолетнего, признанного недееспособным, могут стать его тети, дяди, братья, сестры, бабушки и </w:t>
      </w:r>
      <w:r w:rsidRPr="009234E0">
        <w:lastRenderedPageBreak/>
        <w:t>дедушки. Сироты, у которых остались прабабушка или прадедушка, отправляются в детский дом или спецучреждение.</w:t>
      </w:r>
    </w:p>
    <w:p w:rsidR="008F58F2" w:rsidRPr="009234E0" w:rsidRDefault="008F58F2" w:rsidP="008F58F2">
      <w:r w:rsidRPr="009234E0">
        <w:t xml:space="preserve">Как писала </w:t>
      </w:r>
      <w:r w:rsidR="00E635F7" w:rsidRPr="009234E0">
        <w:t>«</w:t>
      </w:r>
      <w:r w:rsidRPr="009234E0">
        <w:t>Парламентская газета</w:t>
      </w:r>
      <w:r w:rsidR="00E635F7" w:rsidRPr="009234E0">
        <w:t>»</w:t>
      </w:r>
      <w:r w:rsidRPr="009234E0">
        <w:t>, в середине сентября в Госдуму внесли законопроект, предлагающий сохранить за родителями детей-инвалидов дополнительные оплачиваемые выходные после достижения ребенком 18-летия. Авторы инициативы отметили, что с таким вопросом к ним обращаются родители детей-инвалидов. Действующая статья Трудового кодекса предоставляет право на 4 дополнительных оплачиваемых выходных в месяц одному из родителей, опекуну, попечителю. По достижении таким ребенком возраста 18 лет его статус инвалида меняется с детского на взрослый.</w:t>
      </w:r>
    </w:p>
    <w:p w:rsidR="008F58F2" w:rsidRPr="009234E0" w:rsidRDefault="006E678B" w:rsidP="008F58F2">
      <w:hyperlink r:id="rId19" w:history="1">
        <w:r w:rsidR="008F58F2" w:rsidRPr="009234E0">
          <w:rPr>
            <w:rStyle w:val="a3"/>
          </w:rPr>
          <w:t>https://www.pnp.ru/social/shkolkina-razrabotala-zakonoproekt-o-dopolnitelnoy-socpodderzhke-opekunov.html</w:t>
        </w:r>
      </w:hyperlink>
      <w:r w:rsidR="008F58F2" w:rsidRPr="009234E0">
        <w:t xml:space="preserve"> </w:t>
      </w:r>
    </w:p>
    <w:p w:rsidR="00A515E3" w:rsidRPr="009234E0" w:rsidRDefault="00A515E3" w:rsidP="00A515E3">
      <w:pPr>
        <w:pStyle w:val="2"/>
      </w:pPr>
      <w:bookmarkStart w:id="46" w:name="А106"/>
      <w:bookmarkStart w:id="47" w:name="_Toc147905656"/>
      <w:r w:rsidRPr="009234E0">
        <w:t>ТАСС, 10.10.2023, Доходы Соцфонда в 2024 году могут составить более 16 трлн рублей</w:t>
      </w:r>
      <w:bookmarkEnd w:id="46"/>
      <w:bookmarkEnd w:id="47"/>
    </w:p>
    <w:p w:rsidR="00A515E3" w:rsidRPr="009234E0" w:rsidRDefault="00A515E3" w:rsidP="009234E0">
      <w:pPr>
        <w:pStyle w:val="3"/>
      </w:pPr>
      <w:bookmarkStart w:id="48" w:name="_Toc147905657"/>
      <w:r w:rsidRPr="009234E0">
        <w:t>Общие доходы Социального фонда России на 2024 год могут составить более 16 трлн рублей. По сравнению с 2023 годом показатель увеличится на 16%, сообщил председатель фонда Сергей Чирков.</w:t>
      </w:r>
      <w:bookmarkEnd w:id="48"/>
    </w:p>
    <w:p w:rsidR="00A515E3" w:rsidRPr="009234E0" w:rsidRDefault="00E635F7" w:rsidP="00A515E3">
      <w:r w:rsidRPr="009234E0">
        <w:t>«</w:t>
      </w:r>
      <w:r w:rsidR="00A515E3" w:rsidRPr="009234E0">
        <w:t>Общие доходы сформированы на 2024 год в размере чуть более 16 трлн рублей. Это на 16% больше (и на 2 трлн), чем в этом году. В 2025-м и 2026 году объем доходов фонда составит 16,4 трлн и 17,4 трлн рублей соответственно</w:t>
      </w:r>
      <w:r w:rsidRPr="009234E0">
        <w:t>»</w:t>
      </w:r>
      <w:r w:rsidR="00A515E3" w:rsidRPr="009234E0">
        <w:t>, - сказал он на заседании комитета Госдумы по вопросам семьи, женщин и детей.</w:t>
      </w:r>
    </w:p>
    <w:p w:rsidR="00A515E3" w:rsidRPr="009234E0" w:rsidRDefault="00A515E3" w:rsidP="00A515E3">
      <w:r w:rsidRPr="009234E0">
        <w:t>Расходы бюджета фонда определены на 2024 год в объеме 16,2 трлн рублей - это на 2,7 трлн рублей (на 20%) больше, чем в 2023 году.</w:t>
      </w:r>
    </w:p>
    <w:p w:rsidR="00A515E3" w:rsidRPr="009234E0" w:rsidRDefault="00A515E3" w:rsidP="00A515E3">
      <w:r w:rsidRPr="009234E0">
        <w:t xml:space="preserve">По его словам, самые большие доходы и расходы связаны с пенсионным обеспечением. </w:t>
      </w:r>
      <w:r w:rsidR="00E635F7" w:rsidRPr="009234E0">
        <w:t>«</w:t>
      </w:r>
      <w:r w:rsidRPr="009234E0">
        <w:t>Доходы в части пенсионного страхования в следующем году составят 10,5 трлн рублей, а расходы - 10,8 трлн рублей</w:t>
      </w:r>
      <w:r w:rsidR="00E635F7" w:rsidRPr="009234E0">
        <w:t>»</w:t>
      </w:r>
      <w:r w:rsidRPr="009234E0">
        <w:t>, - уточнил он.</w:t>
      </w:r>
    </w:p>
    <w:p w:rsidR="00A515E3" w:rsidRPr="009234E0" w:rsidRDefault="00A515E3" w:rsidP="00A515E3">
      <w:r w:rsidRPr="009234E0">
        <w:t>Пособия по временной нетрудоспособности и в связи с материнством в следующем году могут составить в сумме 678 млрд рублей, что больше показателей текущего года на 54%. Всего на охрану семьи и детства в 2024 году предлагается направить более 2,2 трлн рублей - это на 300 млрд больше, чем в этом году.</w:t>
      </w:r>
    </w:p>
    <w:p w:rsidR="00A515E3" w:rsidRPr="009234E0" w:rsidRDefault="00E635F7" w:rsidP="00A515E3">
      <w:r w:rsidRPr="009234E0">
        <w:t>«</w:t>
      </w:r>
      <w:r w:rsidR="00A515E3" w:rsidRPr="009234E0">
        <w:t>Всего на ежемесячные пособия, то самое единое пособие, в бюджете фонда предусмотрено 1,6 трлн рублей. 1,3 трлн рублей - это федеральные деньги, 300 млн рублей - это деньги субъектов</w:t>
      </w:r>
      <w:r w:rsidRPr="009234E0">
        <w:t>»</w:t>
      </w:r>
      <w:r w:rsidR="00A515E3" w:rsidRPr="009234E0">
        <w:t xml:space="preserve">, - добавил Чирков. </w:t>
      </w:r>
    </w:p>
    <w:p w:rsidR="00A515E3" w:rsidRPr="009234E0" w:rsidRDefault="006E678B" w:rsidP="00A515E3">
      <w:hyperlink r:id="rId20" w:history="1">
        <w:r w:rsidR="00A515E3" w:rsidRPr="009234E0">
          <w:rPr>
            <w:rStyle w:val="a3"/>
          </w:rPr>
          <w:t>https://tass.ru/ekonomika/18966607</w:t>
        </w:r>
      </w:hyperlink>
      <w:r w:rsidR="00A515E3" w:rsidRPr="009234E0">
        <w:t xml:space="preserve"> </w:t>
      </w:r>
    </w:p>
    <w:p w:rsidR="00F91954" w:rsidRPr="009234E0" w:rsidRDefault="00F91954" w:rsidP="00F91954">
      <w:pPr>
        <w:pStyle w:val="2"/>
      </w:pPr>
      <w:bookmarkStart w:id="49" w:name="_Toc147905658"/>
      <w:r w:rsidRPr="009234E0">
        <w:lastRenderedPageBreak/>
        <w:t>АК&amp;М, 10.10.2023, СФР переходит на новые правила обмена электронными документами с работодателями</w:t>
      </w:r>
      <w:bookmarkEnd w:id="49"/>
    </w:p>
    <w:p w:rsidR="00F91954" w:rsidRPr="009234E0" w:rsidRDefault="00F91954" w:rsidP="009234E0">
      <w:pPr>
        <w:pStyle w:val="3"/>
      </w:pPr>
      <w:bookmarkStart w:id="50" w:name="_Toc147905659"/>
      <w:r w:rsidRPr="009234E0">
        <w:t>Фонд пенсионного и социального страхования РФ (СФР) утвердил правила обмена электронными документами с работодателями в рамках обязательного социального страхования (то есть законов от 24.07.1998 № 125-ФЗ и от 29.12.2006 № 255-ФЗ).</w:t>
      </w:r>
      <w:bookmarkEnd w:id="50"/>
    </w:p>
    <w:p w:rsidR="00F91954" w:rsidRPr="009234E0" w:rsidRDefault="00F91954" w:rsidP="00F91954">
      <w:r w:rsidRPr="009234E0">
        <w:t>Соответствующий приказ от 30.05.2023 № 931 опубликован на Официальном интернет-портале правовой информации.</w:t>
      </w:r>
    </w:p>
    <w:p w:rsidR="00F91954" w:rsidRPr="009234E0" w:rsidRDefault="00F91954" w:rsidP="00F91954">
      <w:r w:rsidRPr="009234E0">
        <w:t>Ранее правила ЭДО с работодателями в рамках обязательного социального страхования были определены приказом ФСС от 27.12.2021 № 595. Новые правила ЭДО подготовлены и утверждены в связи с объединением с 1 января 2023 года ПФР и ФСС в единый фонд.</w:t>
      </w:r>
    </w:p>
    <w:p w:rsidR="00F91954" w:rsidRPr="009234E0" w:rsidRDefault="00F91954" w:rsidP="00F91954">
      <w:r w:rsidRPr="009234E0">
        <w:t>Правила определяют порядок и условия организации электронного взаимодействия территориальных органов СФР и работодателей с применением усиленной квалифицированной электронной подписи.</w:t>
      </w:r>
    </w:p>
    <w:p w:rsidR="00F91954" w:rsidRPr="009234E0" w:rsidRDefault="00F91954" w:rsidP="00F91954">
      <w:r w:rsidRPr="009234E0">
        <w:t>Также правила распространяются на иные документы, которые представляют работодатели по требованиям территориальных органов СФР в рамках закона об обязательном социальном страховании (от 24.07.1998 № 125-ФЗ).</w:t>
      </w:r>
    </w:p>
    <w:p w:rsidR="00F91954" w:rsidRPr="009234E0" w:rsidRDefault="00F91954" w:rsidP="00F91954">
      <w:r w:rsidRPr="009234E0">
        <w:t>В частности, утвержденные правила распространяются на такие документы, как:</w:t>
      </w:r>
    </w:p>
    <w:p w:rsidR="00F91954" w:rsidRPr="009234E0" w:rsidRDefault="00F91954" w:rsidP="00F91954">
      <w:r w:rsidRPr="009234E0">
        <w:t>- требование об уплате недоимки по страховым взносам, пеней и штрафов;</w:t>
      </w:r>
    </w:p>
    <w:p w:rsidR="00F91954" w:rsidRPr="009234E0" w:rsidRDefault="00F91954" w:rsidP="00F91954">
      <w:r w:rsidRPr="009234E0">
        <w:t>- решение о взыскании страховых взносов;</w:t>
      </w:r>
    </w:p>
    <w:p w:rsidR="00F91954" w:rsidRPr="009234E0" w:rsidRDefault="00F91954" w:rsidP="00F91954">
      <w:r w:rsidRPr="009234E0">
        <w:t>- акт проверки;</w:t>
      </w:r>
    </w:p>
    <w:p w:rsidR="00F91954" w:rsidRPr="009234E0" w:rsidRDefault="00F91954" w:rsidP="00F91954">
      <w:r w:rsidRPr="009234E0">
        <w:t>- решение о привлечении к ответственности за совершение правонарушения;</w:t>
      </w:r>
    </w:p>
    <w:p w:rsidR="00F91954" w:rsidRPr="009234E0" w:rsidRDefault="00F91954" w:rsidP="00F91954">
      <w:r w:rsidRPr="009234E0">
        <w:t>- решение об отказе в привлечении к ответственности за совершение правонарушения;</w:t>
      </w:r>
    </w:p>
    <w:p w:rsidR="00F91954" w:rsidRPr="009234E0" w:rsidRDefault="00F91954" w:rsidP="00F91954">
      <w:r w:rsidRPr="009234E0">
        <w:t>- требование о представлении документов;</w:t>
      </w:r>
    </w:p>
    <w:p w:rsidR="00F91954" w:rsidRPr="009234E0" w:rsidRDefault="00F91954" w:rsidP="00F91954">
      <w:r w:rsidRPr="009234E0">
        <w:t>- решение о возмещении излишне понесенных расходов;</w:t>
      </w:r>
    </w:p>
    <w:p w:rsidR="00F91954" w:rsidRPr="009234E0" w:rsidRDefault="00F91954" w:rsidP="00F91954">
      <w:r w:rsidRPr="009234E0">
        <w:t>- требование о возмещении излишне понесенных расходов.</w:t>
      </w:r>
    </w:p>
    <w:p w:rsidR="00F91954" w:rsidRPr="009234E0" w:rsidRDefault="00F91954" w:rsidP="00F91954">
      <w:r w:rsidRPr="009234E0">
        <w:t>Также правила распространяются на иные документы, которые представляют работодатели по требованиям территориальных органов СФР в рамках закона об обязательном социальном страховании (от 24.07.1998 № 125-ФЗ).</w:t>
      </w:r>
    </w:p>
    <w:p w:rsidR="00F91954" w:rsidRPr="009234E0" w:rsidRDefault="00F91954" w:rsidP="00F91954">
      <w:r w:rsidRPr="009234E0">
        <w:t>Согласно правилам, перечисленные документы должны составляться в электронной форме либо формироваться путем преобразования из ранее составленного бумажного документа в электронную форму путем сканирования и подписываются усиленной квалифицированной электронной подписью (УКЭП) органа, выдавшего документа, либо нотариуса.</w:t>
      </w:r>
    </w:p>
    <w:p w:rsidR="00F91954" w:rsidRPr="009234E0" w:rsidRDefault="00F91954" w:rsidP="00F91954">
      <w:r w:rsidRPr="009234E0">
        <w:t xml:space="preserve">При формировании документов можно применять, в том числе бесплатные сервисы информационной системы СФР </w:t>
      </w:r>
      <w:r w:rsidR="00E635F7" w:rsidRPr="009234E0">
        <w:t>«</w:t>
      </w:r>
      <w:r w:rsidRPr="009234E0">
        <w:t xml:space="preserve">Единая интегрированная информационная система </w:t>
      </w:r>
      <w:r w:rsidR="00E635F7" w:rsidRPr="009234E0">
        <w:t>«</w:t>
      </w:r>
      <w:r w:rsidRPr="009234E0">
        <w:t>Соцстрах</w:t>
      </w:r>
      <w:r w:rsidR="00E635F7" w:rsidRPr="009234E0">
        <w:t>»</w:t>
      </w:r>
      <w:r w:rsidRPr="009234E0">
        <w:t>.</w:t>
      </w:r>
    </w:p>
    <w:p w:rsidR="00F91954" w:rsidRPr="009234E0" w:rsidRDefault="00F91954" w:rsidP="00F91954">
      <w:r w:rsidRPr="009234E0">
        <w:lastRenderedPageBreak/>
        <w:t>При направлении документов территориальными органами СФР работодателю формируются:</w:t>
      </w:r>
    </w:p>
    <w:p w:rsidR="00F91954" w:rsidRPr="009234E0" w:rsidRDefault="00F91954" w:rsidP="00F91954">
      <w:r w:rsidRPr="009234E0">
        <w:t>- квитанция подтверждения даты направления территориальным органом СФР документов;</w:t>
      </w:r>
    </w:p>
    <w:p w:rsidR="00F91954" w:rsidRPr="009234E0" w:rsidRDefault="00F91954" w:rsidP="00F91954">
      <w:r w:rsidRPr="009234E0">
        <w:t>- квитанция подтверждения даты получения работодателем документов из СФР.</w:t>
      </w:r>
    </w:p>
    <w:p w:rsidR="00F91954" w:rsidRPr="009234E0" w:rsidRDefault="00F91954" w:rsidP="00F91954">
      <w:r w:rsidRPr="009234E0">
        <w:t>При направлении перечисленных выше документов работодателем в СФР должны формироваться:</w:t>
      </w:r>
    </w:p>
    <w:p w:rsidR="00F91954" w:rsidRPr="009234E0" w:rsidRDefault="00F91954" w:rsidP="00F91954">
      <w:r w:rsidRPr="009234E0">
        <w:t>- квитанция подтверждения даты направления работодателем документов;</w:t>
      </w:r>
    </w:p>
    <w:p w:rsidR="00F91954" w:rsidRPr="009234E0" w:rsidRDefault="00F91954" w:rsidP="00F91954">
      <w:r w:rsidRPr="009234E0">
        <w:t>- квитанция подтверждения даты получения территориальным органом СФР документов;</w:t>
      </w:r>
    </w:p>
    <w:p w:rsidR="00F91954" w:rsidRPr="009234E0" w:rsidRDefault="00F91954" w:rsidP="00F91954">
      <w:r w:rsidRPr="009234E0">
        <w:t>- уведомление о приеме территориальным органом СФР документов;</w:t>
      </w:r>
    </w:p>
    <w:p w:rsidR="00F91954" w:rsidRPr="009234E0" w:rsidRDefault="00F91954" w:rsidP="00F91954">
      <w:r w:rsidRPr="009234E0">
        <w:t>- уведомление об отказе в приеме территориальным органом СФР документов.</w:t>
      </w:r>
    </w:p>
    <w:p w:rsidR="00F91954" w:rsidRPr="009234E0" w:rsidRDefault="00F91954" w:rsidP="00F91954">
      <w:r w:rsidRPr="009234E0">
        <w:t xml:space="preserve">Новые правила ЭДО вступят в силу с 20 октября 2023 года. </w:t>
      </w:r>
    </w:p>
    <w:p w:rsidR="00D1642B" w:rsidRPr="009234E0" w:rsidRDefault="006E678B" w:rsidP="00F91954">
      <w:hyperlink r:id="rId21" w:history="1">
        <w:r w:rsidR="00F91954" w:rsidRPr="009234E0">
          <w:rPr>
            <w:rStyle w:val="a3"/>
          </w:rPr>
          <w:t>https://www.akm.ru/press/sfr_perekhodit_na_novye_pravila_obmena_elektronnymi_dokumentami_s_rabotodatelyami</w:t>
        </w:r>
      </w:hyperlink>
    </w:p>
    <w:p w:rsidR="00747F0F" w:rsidRPr="009234E0" w:rsidRDefault="00747F0F" w:rsidP="00747F0F">
      <w:pPr>
        <w:pStyle w:val="2"/>
      </w:pPr>
      <w:bookmarkStart w:id="51" w:name="А107"/>
      <w:bookmarkStart w:id="52" w:name="_Toc147905660"/>
      <w:r w:rsidRPr="009234E0">
        <w:t>Конкурент, 10.10.2023, Будет повышение всем. Пенсионерам назвали точную сумму пенсии в 2024 году</w:t>
      </w:r>
      <w:bookmarkEnd w:id="51"/>
      <w:bookmarkEnd w:id="52"/>
    </w:p>
    <w:p w:rsidR="00747F0F" w:rsidRPr="009234E0" w:rsidRDefault="00747F0F" w:rsidP="009234E0">
      <w:pPr>
        <w:pStyle w:val="3"/>
      </w:pPr>
      <w:bookmarkStart w:id="53" w:name="_Toc147905661"/>
      <w:r w:rsidRPr="009234E0">
        <w:t>Средняя пенсия в следующем году составит чуть больше 23,2 тыс. руб. в месяц. Об этом сообщает официальный телеграм-канал российского Минфина.</w:t>
      </w:r>
      <w:bookmarkEnd w:id="53"/>
    </w:p>
    <w:p w:rsidR="00747F0F" w:rsidRPr="009234E0" w:rsidRDefault="00747F0F" w:rsidP="00747F0F">
      <w:r w:rsidRPr="009234E0">
        <w:t>В следующем году, согласно сообщению, пенсии будут проиндексированы на прогнозируемый в текущем году уровень инфляции, это 7,5%, и средний размер такой пенсии составит 23 244 руб.</w:t>
      </w:r>
    </w:p>
    <w:p w:rsidR="00747F0F" w:rsidRPr="009234E0" w:rsidRDefault="00747F0F" w:rsidP="00747F0F">
      <w:r w:rsidRPr="009234E0">
        <w:t>Общий объем расходов на индексацию пенсии в 2024-м составит около 600 млрд руб.</w:t>
      </w:r>
    </w:p>
    <w:p w:rsidR="00747F0F" w:rsidRPr="009234E0" w:rsidRDefault="00747F0F" w:rsidP="00747F0F">
      <w:r w:rsidRPr="009234E0">
        <w:t>Согласно внесенному в нижнюю палату парламента проекту бюджета, планируется и повышение прожиточного минимума пенсионера: в 2024 г. – на 7,5%, в 2025 г. – на 9,5% и в 2026 г. – на 10,3%.</w:t>
      </w:r>
    </w:p>
    <w:p w:rsidR="00747F0F" w:rsidRPr="009234E0" w:rsidRDefault="00747F0F" w:rsidP="00747F0F">
      <w:r w:rsidRPr="009234E0">
        <w:t>На 2023 г. федеральный размер прожиточного минимума пенсионера составляет 12 363 руб.</w:t>
      </w:r>
    </w:p>
    <w:p w:rsidR="00747F0F" w:rsidRPr="009234E0" w:rsidRDefault="006E678B" w:rsidP="00747F0F">
      <w:hyperlink r:id="rId22" w:history="1">
        <w:r w:rsidR="00747F0F" w:rsidRPr="009234E0">
          <w:rPr>
            <w:rStyle w:val="a3"/>
          </w:rPr>
          <w:t>https://konkurent.ru/article/62458</w:t>
        </w:r>
      </w:hyperlink>
      <w:r w:rsidR="00747F0F" w:rsidRPr="009234E0">
        <w:t xml:space="preserve"> </w:t>
      </w:r>
    </w:p>
    <w:p w:rsidR="00966294" w:rsidRPr="009234E0" w:rsidRDefault="00966294" w:rsidP="00966294">
      <w:pPr>
        <w:pStyle w:val="2"/>
      </w:pPr>
      <w:bookmarkStart w:id="54" w:name="_Toc147905662"/>
      <w:r w:rsidRPr="009234E0">
        <w:lastRenderedPageBreak/>
        <w:t>АБН, 10.10.2023, Пенсии в РФ вырастут еще на 20%</w:t>
      </w:r>
      <w:bookmarkEnd w:id="54"/>
    </w:p>
    <w:p w:rsidR="00966294" w:rsidRPr="009234E0" w:rsidRDefault="00966294" w:rsidP="009234E0">
      <w:pPr>
        <w:pStyle w:val="3"/>
      </w:pPr>
      <w:bookmarkStart w:id="55" w:name="_Toc147905663"/>
      <w:r w:rsidRPr="009234E0">
        <w:t>Пожилых россиян обрадовали повышением пенсий на 20%, которое произойдет уже в скором времени. В результате такой прибавки средняя пенсионная выплата в стране достигнет почти 26 000 рублей. Уточняется, что параметры грядущих индексаций пенсий согласованы кабинетом министров в проекте бюджета Социального фонда РФ на ближайшие годы.</w:t>
      </w:r>
      <w:bookmarkEnd w:id="55"/>
    </w:p>
    <w:p w:rsidR="00966294" w:rsidRPr="009234E0" w:rsidRDefault="00966294" w:rsidP="00966294">
      <w:r w:rsidRPr="009234E0">
        <w:t>Прежде всего с 1 января 2024 года страховые пенсии проиндексируют на 7,5% с учетом уровня инфляции в стране. Затем в 2025 году повышение пенсионных выплат произойдет дважды: с 1 февраля 2023 года пенсии повысят на 4% и в с 1 апреля — на 3,6%. В 2026 году пенсионные выплаты будут проиндексированы на 6,8%. Таким образом, в ближайшие три года пенсии продемонстрируют рост более чем на 20%.</w:t>
      </w:r>
    </w:p>
    <w:p w:rsidR="00966294" w:rsidRPr="009234E0" w:rsidRDefault="00966294" w:rsidP="00966294">
      <w:r w:rsidRPr="009234E0">
        <w:t xml:space="preserve">Согласно данным Министерства труда и социальной защиты, после такой солидной прибавки средний размер пенсии вырастет до 25 690 рублей. </w:t>
      </w:r>
    </w:p>
    <w:p w:rsidR="00966294" w:rsidRPr="009234E0" w:rsidRDefault="006E678B" w:rsidP="00966294">
      <w:hyperlink r:id="rId23" w:history="1">
        <w:r w:rsidR="00966294" w:rsidRPr="009234E0">
          <w:rPr>
            <w:rStyle w:val="a3"/>
          </w:rPr>
          <w:t>https://abnews.ru/news/2023/10/10/pensii-v-rf-vyrastut-eshhe-na-20</w:t>
        </w:r>
      </w:hyperlink>
      <w:r w:rsidR="00966294" w:rsidRPr="009234E0">
        <w:t xml:space="preserve"> </w:t>
      </w:r>
    </w:p>
    <w:p w:rsidR="0010672E" w:rsidRPr="009234E0" w:rsidRDefault="0010672E" w:rsidP="0010672E">
      <w:pPr>
        <w:pStyle w:val="2"/>
      </w:pPr>
      <w:bookmarkStart w:id="56" w:name="_Toc147905664"/>
      <w:r w:rsidRPr="009234E0">
        <w:t>NEWS.ru, 10.10.2023, Госрасходы на доплаты к пенсиям сократят в следующие три года</w:t>
      </w:r>
      <w:bookmarkEnd w:id="56"/>
    </w:p>
    <w:p w:rsidR="0010672E" w:rsidRPr="009234E0" w:rsidRDefault="0010672E" w:rsidP="009234E0">
      <w:pPr>
        <w:pStyle w:val="3"/>
      </w:pPr>
      <w:bookmarkStart w:id="57" w:name="_Toc147905665"/>
      <w:r w:rsidRPr="009234E0">
        <w:t>Расходы бюджета России на региональные социальные доплаты к пенсиям сократятся в ближайшие три года. Об этом стало известно NEWS.ru после ознакомления с правительственным проектом бюджета на 2024-2026 годы. В нем соответствующие траты заметно меньше, чем планировалось предыдущим законом о бюджете, на 2023-2025 годы.</w:t>
      </w:r>
      <w:bookmarkEnd w:id="57"/>
    </w:p>
    <w:p w:rsidR="0010672E" w:rsidRPr="009234E0" w:rsidRDefault="0010672E" w:rsidP="0010672E">
      <w:r w:rsidRPr="009234E0">
        <w:t>В связи с уточнением численности получателей выплат бюджетные ассигнования на выплату региональных социальных доплат к пенсии в 2024 году сократятся на [почти] 5,2 млрд рублей, в 2025 году - на 752,9 млн рублей, в 2026 году - на 773,8 млн рублей, - сказано в пояснительной записке к законопроекту.</w:t>
      </w:r>
    </w:p>
    <w:p w:rsidR="0010672E" w:rsidRPr="009234E0" w:rsidRDefault="0010672E" w:rsidP="0010672E">
      <w:r w:rsidRPr="009234E0">
        <w:t>В то же время на 3,6 млрд рублей больше в следующем году выделят на выплату федеральной социальной доплаты к пенсии в 2024 году. Эту сумму планируется увеличить в разы в последующие годы, но эти цифры еще могут сильно скорректировать через год.</w:t>
      </w:r>
    </w:p>
    <w:p w:rsidR="0010672E" w:rsidRPr="009234E0" w:rsidRDefault="0010672E" w:rsidP="0010672E">
      <w:r w:rsidRPr="009234E0">
        <w:t>Кроме того, в 2026-м планируется на 26,7 млн рублей сократить дополнительное пенсионное обеспечение - то есть негосударственные пенсии - работников организаций угольной промышленности.</w:t>
      </w:r>
    </w:p>
    <w:p w:rsidR="0010672E" w:rsidRPr="009234E0" w:rsidRDefault="0010672E" w:rsidP="0010672E">
      <w:r w:rsidRPr="009234E0">
        <w:t>Уменьшат и доплаты на жилищно-коммунальные услуги отдельным категориям граждан в связи с изменениями данных для расчетов таких доплат. В 2024 году сокращение составит почти 5 млрд рублей, в 2025-м - 3,7 млрд рублей, в 2026-м - снова около 5 млрд рублей. На компенсации льготникам оплаты взноса на капитальный ремонт жилых домов выплаты сократят в 2024 году на 91,7 млн рублей, в 2025-м - на 85,3 млн рублей, в 2026-м - на 78,1 млн рублей.</w:t>
      </w:r>
    </w:p>
    <w:p w:rsidR="0010672E" w:rsidRPr="009234E0" w:rsidRDefault="0010672E" w:rsidP="0010672E">
      <w:r w:rsidRPr="009234E0">
        <w:t>Ранее NEWS.ru подробно писал о том, на что еще власти порежут расходы.</w:t>
      </w:r>
    </w:p>
    <w:p w:rsidR="0010672E" w:rsidRPr="009234E0" w:rsidRDefault="0010672E" w:rsidP="0010672E">
      <w:r w:rsidRPr="009234E0">
        <w:t xml:space="preserve">Рассматривать проект бюджета на 2024-й и плановые периоды 2025-2026 годов в Госдуме начнут 16 октября, заявил ранее журналистам председатель бюджетного </w:t>
      </w:r>
      <w:r w:rsidRPr="009234E0">
        <w:lastRenderedPageBreak/>
        <w:t>комитета нижней палаты Андрей Макаров. На первое заседание комитета придет лично министр финансов Антон Силуанов. Затем в октябре-ноябре пройдут три чтения в Госдуме, в рамках которых могут внести правки, а также заседание Совета Федерации. После этого закон подпишет президент.</w:t>
      </w:r>
    </w:p>
    <w:p w:rsidR="0010672E" w:rsidRPr="009234E0" w:rsidRDefault="006E678B" w:rsidP="0010672E">
      <w:hyperlink r:id="rId24" w:history="1">
        <w:r w:rsidR="0010672E" w:rsidRPr="009234E0">
          <w:rPr>
            <w:rStyle w:val="a3"/>
          </w:rPr>
          <w:t>https://news.ru/economics/stalo-izvestno-kak-sokratyat-doplaty-k-pensiyam-v-sleduyushie-tri-goda/</w:t>
        </w:r>
      </w:hyperlink>
      <w:r w:rsidR="0010672E" w:rsidRPr="009234E0">
        <w:t xml:space="preserve"> </w:t>
      </w:r>
    </w:p>
    <w:p w:rsidR="00747F0F" w:rsidRPr="009234E0" w:rsidRDefault="00747F0F" w:rsidP="00747F0F">
      <w:pPr>
        <w:pStyle w:val="2"/>
      </w:pPr>
      <w:bookmarkStart w:id="58" w:name="_Toc147905666"/>
      <w:r w:rsidRPr="009234E0">
        <w:t>PRIMPRESS, 10.10.2023, И работающим, и неработающим. Пенсионерам объявили о разовой выплате 10 000 рублей с 11 октября</w:t>
      </w:r>
      <w:bookmarkEnd w:id="58"/>
      <w:r w:rsidRPr="009234E0">
        <w:t xml:space="preserve"> </w:t>
      </w:r>
    </w:p>
    <w:p w:rsidR="00747F0F" w:rsidRPr="009234E0" w:rsidRDefault="00747F0F" w:rsidP="009234E0">
      <w:pPr>
        <w:pStyle w:val="3"/>
      </w:pPr>
      <w:bookmarkStart w:id="59" w:name="_Toc147905667"/>
      <w:r w:rsidRPr="009234E0">
        <w:t>Разовую выплату в размере 10 тысяч рублей начнут перечислять пенсионерам уже с 11 октября. О выдаче таких денег пожилым людям объявили во многих регионах. А рассчитывать на их получение смогут как неработающие граждан, так и официально трудоустроенные. Об этом рассказал пенсионный эксперт Сергей Власов, сообщает PRIMPRESS.</w:t>
      </w:r>
      <w:bookmarkEnd w:id="59"/>
    </w:p>
    <w:p w:rsidR="00747F0F" w:rsidRPr="009234E0" w:rsidRDefault="00747F0F" w:rsidP="00747F0F">
      <w:r w:rsidRPr="009234E0">
        <w:t>По словам эксперта, новую единовременную выплату приурочат к важному событию в жизни пожилых людей. Речь идет о юбилеях со дня свадьбы, которые будут насчитывать несколько десятков лет. И о выдаче разовой материальной помощи объявили уже во многих регионах нашей страны.</w:t>
      </w:r>
    </w:p>
    <w:p w:rsidR="00747F0F" w:rsidRPr="009234E0" w:rsidRDefault="00E635F7" w:rsidP="00747F0F">
      <w:r w:rsidRPr="009234E0">
        <w:t>«</w:t>
      </w:r>
      <w:r w:rsidR="00747F0F" w:rsidRPr="009234E0">
        <w:t>Недавно прошла информация, что выплату для пенсионеров, которые долго прожили вместе, хотят вывести на федеральный уровень. Но пока это только разговоры, а само пособие действует почти в двух десятках субъектов Федерации. Главное условие для получения денег: брак должен быть оформлен официально и ни разу не прерываться на протяжении 50 лет и более</w:t>
      </w:r>
      <w:r w:rsidRPr="009234E0">
        <w:t>»</w:t>
      </w:r>
      <w:r w:rsidR="00747F0F" w:rsidRPr="009234E0">
        <w:t>, – пояснил Власов.</w:t>
      </w:r>
    </w:p>
    <w:p w:rsidR="00747F0F" w:rsidRPr="009234E0" w:rsidRDefault="00747F0F" w:rsidP="00747F0F">
      <w:r w:rsidRPr="009234E0">
        <w:t>При этом дополнительные критерии для выдачи денег для пожилых граждан могут различаться. Например, в ХМАО выплата полагается только тем супругам, которые прожили там вместе как минимум 15 лет. А в Свердловской области пара должна обязательно воспитать хотя бы одного ребенка, чтобы власти назначили для них разовую выплату.</w:t>
      </w:r>
    </w:p>
    <w:p w:rsidR="00747F0F" w:rsidRPr="009234E0" w:rsidRDefault="00E635F7" w:rsidP="00747F0F">
      <w:r w:rsidRPr="009234E0">
        <w:t>«</w:t>
      </w:r>
      <w:r w:rsidR="00747F0F" w:rsidRPr="009234E0">
        <w:t>Но единым для всех регионов остается момент уровня доходов пожилых граждан, в данном случае на заработок просто не будут смотреть. Ведь если индексация пенсии работающим пенсионерам не начисляется, то эту выплату можно будет получить вне зависимости от трудового статуса</w:t>
      </w:r>
      <w:r w:rsidRPr="009234E0">
        <w:t>»</w:t>
      </w:r>
      <w:r w:rsidR="00747F0F" w:rsidRPr="009234E0">
        <w:t>, – добавил эксперт.</w:t>
      </w:r>
    </w:p>
    <w:p w:rsidR="00747F0F" w:rsidRPr="009234E0" w:rsidRDefault="00747F0F" w:rsidP="00747F0F">
      <w:r w:rsidRPr="009234E0">
        <w:t>Он уточнил, что уже с 11 октября разовое пособие смогут получить те, кто обратился за ним в сентябре, и его одобрили на прошлой неделе. Размер выплаты во многих случаях составит 10 тысяч рублей. Например, столько выдадут в Татарстане, Белгородской области, на Урале и в Самарской области, а также в других регионах.</w:t>
      </w:r>
    </w:p>
    <w:p w:rsidR="00747F0F" w:rsidRPr="009234E0" w:rsidRDefault="006E678B" w:rsidP="00747F0F">
      <w:hyperlink r:id="rId25" w:history="1">
        <w:r w:rsidR="00747F0F" w:rsidRPr="009234E0">
          <w:rPr>
            <w:rStyle w:val="a3"/>
          </w:rPr>
          <w:t>https://primpress.ru/article/105711</w:t>
        </w:r>
      </w:hyperlink>
      <w:r w:rsidR="00747F0F" w:rsidRPr="009234E0">
        <w:t xml:space="preserve"> </w:t>
      </w:r>
    </w:p>
    <w:p w:rsidR="00EB2AB7" w:rsidRPr="009234E0" w:rsidRDefault="00EB2AB7" w:rsidP="00EB2AB7">
      <w:pPr>
        <w:pStyle w:val="2"/>
      </w:pPr>
      <w:bookmarkStart w:id="60" w:name="_Toc147905668"/>
      <w:r w:rsidRPr="009234E0">
        <w:lastRenderedPageBreak/>
        <w:t>ФедералПресс, 10.10.2023, Пенсионерам назвали условия получения доплаты в 1900 рублей за 30 лет стажа</w:t>
      </w:r>
      <w:bookmarkEnd w:id="60"/>
    </w:p>
    <w:p w:rsidR="00EB2AB7" w:rsidRPr="009234E0" w:rsidRDefault="00EB2AB7" w:rsidP="009234E0">
      <w:pPr>
        <w:pStyle w:val="3"/>
      </w:pPr>
      <w:bookmarkStart w:id="61" w:name="_Toc147905669"/>
      <w:r w:rsidRPr="009234E0">
        <w:t>В Социальном фонде России рассказали, кто из пенсионеров может получить ежемесячную доплату к пенсии в размере 1900 рублей.</w:t>
      </w:r>
      <w:bookmarkEnd w:id="61"/>
    </w:p>
    <w:p w:rsidR="00EB2AB7" w:rsidRPr="009234E0" w:rsidRDefault="00E635F7" w:rsidP="00EB2AB7">
      <w:r w:rsidRPr="009234E0">
        <w:t>«</w:t>
      </w:r>
      <w:r w:rsidR="00EB2AB7" w:rsidRPr="009234E0">
        <w:t>Подавать заявление на начисление надбавки: расчет будет произведен автоматически при выходе на пенсию</w:t>
      </w:r>
      <w:r w:rsidRPr="009234E0">
        <w:t>»</w:t>
      </w:r>
      <w:r w:rsidR="00EB2AB7" w:rsidRPr="009234E0">
        <w:t>, – говорится в сообщении.</w:t>
      </w:r>
    </w:p>
    <w:p w:rsidR="00EB2AB7" w:rsidRPr="009234E0" w:rsidRDefault="00EB2AB7" w:rsidP="00EB2AB7">
      <w:r w:rsidRPr="009234E0">
        <w:t>Речь идет о ежемесячной доплате к страховой пенсии по старости в размере 25 % фиксированной выплаты. Претендовать на получение надбавки могут пожилые россияне, которые проработали не менее 30 лет в сфере сельского хозяйства – это более 500 различных профессий. Ежегодно такую доплату получают порядка миллиона пенсионеров.</w:t>
      </w:r>
    </w:p>
    <w:p w:rsidR="00EB2AB7" w:rsidRPr="009234E0" w:rsidRDefault="00EB2AB7" w:rsidP="00EB2AB7">
      <w:r w:rsidRPr="009234E0">
        <w:t>В 2023 году размер прибавки составляет 1891 рубль.</w:t>
      </w:r>
    </w:p>
    <w:p w:rsidR="00EB2AB7" w:rsidRPr="009234E0" w:rsidRDefault="00EB2AB7" w:rsidP="00EB2AB7">
      <w:r w:rsidRPr="009234E0">
        <w:t>С прошлого года пенсионеры могут получать доплату, даже если покинули сельскую местность и постоянно живут в городе. До этого такой возможности у переехавших в город получателей сельской прибавки не было.</w:t>
      </w:r>
    </w:p>
    <w:p w:rsidR="00EB2AB7" w:rsidRPr="009234E0" w:rsidRDefault="00EB2AB7" w:rsidP="00EB2AB7">
      <w:r w:rsidRPr="009234E0">
        <w:t>Потерять надбавку пенсионер может только в том случае, если решит снова устроиться на работу. При этом после увольнения пожилому человеку придется обратиться в СФР, чтобы восстановить право на выплату. Сделать это можно на портале госуслуг, а также лично в отделении Соцфонда или МФЦ.</w:t>
      </w:r>
    </w:p>
    <w:p w:rsidR="00F91954" w:rsidRPr="009234E0" w:rsidRDefault="006E678B" w:rsidP="00EB2AB7">
      <w:hyperlink r:id="rId26" w:history="1">
        <w:r w:rsidR="00EB2AB7" w:rsidRPr="009234E0">
          <w:rPr>
            <w:rStyle w:val="a3"/>
          </w:rPr>
          <w:t>https://fedpress.ru/news/77/society/3272959</w:t>
        </w:r>
      </w:hyperlink>
    </w:p>
    <w:p w:rsidR="00747F0F" w:rsidRPr="009234E0" w:rsidRDefault="00747F0F" w:rsidP="00747F0F">
      <w:pPr>
        <w:pStyle w:val="2"/>
      </w:pPr>
      <w:bookmarkStart w:id="62" w:name="_Toc147905670"/>
      <w:r w:rsidRPr="009234E0">
        <w:t>Pensnews.ru, 10.10.2023, Пенсионеров все чаще зовут на работу</w:t>
      </w:r>
      <w:bookmarkEnd w:id="62"/>
    </w:p>
    <w:p w:rsidR="00747F0F" w:rsidRPr="009234E0" w:rsidRDefault="00747F0F" w:rsidP="009234E0">
      <w:pPr>
        <w:pStyle w:val="3"/>
      </w:pPr>
      <w:bookmarkStart w:id="63" w:name="_Toc147905671"/>
      <w:r w:rsidRPr="009234E0">
        <w:t xml:space="preserve">Пока власти усиленно, если брать нежелание индексировать выплаты, борются с пенсионерами, которые </w:t>
      </w:r>
      <w:r w:rsidR="00E635F7" w:rsidRPr="009234E0">
        <w:t>«</w:t>
      </w:r>
      <w:r w:rsidRPr="009234E0">
        <w:t>вздумали</w:t>
      </w:r>
      <w:r w:rsidR="00E635F7" w:rsidRPr="009234E0">
        <w:t>»</w:t>
      </w:r>
      <w:r w:rsidRPr="009234E0">
        <w:t xml:space="preserve"> работать, у российский работодателей начинает радикально меняться подход к гражданам, которых они хотят видеть у себя на предприятиях, пишет Pensnews.ru.</w:t>
      </w:r>
      <w:bookmarkEnd w:id="63"/>
    </w:p>
    <w:p w:rsidR="00747F0F" w:rsidRPr="009234E0" w:rsidRDefault="00747F0F" w:rsidP="00747F0F">
      <w:r w:rsidRPr="009234E0">
        <w:t xml:space="preserve">Выяснилось, что за год (с сентября 2022 по сентябрь 2023 года) количество предложений от работодателей для работников старшего возраста выросло в 2,7 раза. Эти данные приводит сервис </w:t>
      </w:r>
      <w:r w:rsidR="00E635F7" w:rsidRPr="009234E0">
        <w:t>«</w:t>
      </w:r>
      <w:r w:rsidRPr="009234E0">
        <w:t>Авито Работа</w:t>
      </w:r>
      <w:r w:rsidR="00E635F7" w:rsidRPr="009234E0">
        <w:t>»</w:t>
      </w:r>
      <w:r w:rsidRPr="009234E0">
        <w:t>.</w:t>
      </w:r>
    </w:p>
    <w:p w:rsidR="00747F0F" w:rsidRPr="009234E0" w:rsidRDefault="00747F0F" w:rsidP="00747F0F">
      <w:r w:rsidRPr="009234E0">
        <w:t>Сообщается также, что больше всего вакансий для пенсионеров в туризме, строительстве и на различных производствах.</w:t>
      </w:r>
    </w:p>
    <w:p w:rsidR="00747F0F" w:rsidRPr="009234E0" w:rsidRDefault="00747F0F" w:rsidP="00747F0F">
      <w:r w:rsidRPr="009234E0">
        <w:t xml:space="preserve">Слово директору по развитию компании </w:t>
      </w:r>
      <w:r w:rsidR="00E635F7" w:rsidRPr="009234E0">
        <w:t>«</w:t>
      </w:r>
      <w:r w:rsidRPr="009234E0">
        <w:t>Авито Работа</w:t>
      </w:r>
      <w:r w:rsidR="00E635F7" w:rsidRPr="009234E0">
        <w:t>»</w:t>
      </w:r>
      <w:r w:rsidRPr="009234E0">
        <w:t xml:space="preserve"> Дмитрию Пучкову:</w:t>
      </w:r>
    </w:p>
    <w:p w:rsidR="00747F0F" w:rsidRPr="009234E0" w:rsidRDefault="00E635F7" w:rsidP="00747F0F">
      <w:r w:rsidRPr="009234E0">
        <w:t>«</w:t>
      </w:r>
      <w:r w:rsidR="00747F0F" w:rsidRPr="009234E0">
        <w:t>В связи со стремительно растущим спросом работодателей на кадры компании стали охотнее привлекать и нанимать сотрудников старшего поколения. В сентябре 2023 года средние предлагаемые заработные платы увеличились на 15 процентов год к году и достигли 59 721 рубля. Многие пенсионеры обладают значительным профессиональным опытом и навыками, которые могут быть полезными для организаций. Кроме того, опытные специалисты могут выступить высококвалифицированными наставниками, которые обучат младших сотрудников всему необходимому</w:t>
      </w:r>
      <w:r w:rsidRPr="009234E0">
        <w:t>»</w:t>
      </w:r>
      <w:r w:rsidR="00747F0F" w:rsidRPr="009234E0">
        <w:t>.</w:t>
      </w:r>
    </w:p>
    <w:p w:rsidR="00747F0F" w:rsidRPr="009234E0" w:rsidRDefault="00747F0F" w:rsidP="00747F0F">
      <w:r w:rsidRPr="009234E0">
        <w:lastRenderedPageBreak/>
        <w:t>Правда, эксперт также считает, что работодатели в целом предлагают пенсионерам не слишком высокие зарплаты.</w:t>
      </w:r>
    </w:p>
    <w:p w:rsidR="00747F0F" w:rsidRPr="009234E0" w:rsidRDefault="00747F0F" w:rsidP="00747F0F">
      <w:r w:rsidRPr="009234E0">
        <w:t>Дмитрий Пучков:</w:t>
      </w:r>
    </w:p>
    <w:p w:rsidR="00747F0F" w:rsidRPr="009234E0" w:rsidRDefault="00E635F7" w:rsidP="00747F0F">
      <w:r w:rsidRPr="009234E0">
        <w:t>«</w:t>
      </w:r>
      <w:r w:rsidR="00747F0F" w:rsidRPr="009234E0">
        <w:t>59 тысяч - это чуть выше медианой заработной платы по стране. Поэтому говорить о преодолении возрастной дискриминации полностью еще рано</w:t>
      </w:r>
      <w:r w:rsidRPr="009234E0">
        <w:t>»</w:t>
      </w:r>
      <w:r w:rsidR="00747F0F" w:rsidRPr="009234E0">
        <w:t>.</w:t>
      </w:r>
    </w:p>
    <w:p w:rsidR="00747F0F" w:rsidRPr="009234E0" w:rsidRDefault="00747F0F" w:rsidP="00747F0F">
      <w:r w:rsidRPr="009234E0">
        <w:t xml:space="preserve">С этим, конечно, трудно не согласиться. Однако многие еще помнят времена, когда и соискатели на вакансии в возра 35-40 лет уже считались бесперспективными. К сожалению, такого подхода придерживались и государственные органы, и муниципальные. Похоже, засилье 25-летних </w:t>
      </w:r>
      <w:r w:rsidR="00E635F7" w:rsidRPr="009234E0">
        <w:t>«</w:t>
      </w:r>
      <w:r w:rsidRPr="009234E0">
        <w:t>эффективных менеждеров</w:t>
      </w:r>
      <w:r w:rsidR="00E635F7" w:rsidRPr="009234E0">
        <w:t>»</w:t>
      </w:r>
      <w:r w:rsidRPr="009234E0">
        <w:t xml:space="preserve">, занявших свои поста, как правило, по блату, подходит к концу. Всем стало понятно, что в России надо развивать свое производство, а дипломированные </w:t>
      </w:r>
      <w:r w:rsidR="00E635F7" w:rsidRPr="009234E0">
        <w:t>«</w:t>
      </w:r>
      <w:r w:rsidRPr="009234E0">
        <w:t>молокососы</w:t>
      </w:r>
      <w:r w:rsidR="00E635F7" w:rsidRPr="009234E0">
        <w:t>»</w:t>
      </w:r>
      <w:r w:rsidRPr="009234E0">
        <w:t>, которые самоутверждаются больше на унижении людей, чем на реализации реальных проектов, похоже, наконец-то останутся в прошлом.</w:t>
      </w:r>
    </w:p>
    <w:p w:rsidR="00EB2AB7" w:rsidRPr="009234E0" w:rsidRDefault="006E678B" w:rsidP="00747F0F">
      <w:hyperlink r:id="rId27" w:history="1">
        <w:r w:rsidR="00747F0F" w:rsidRPr="009234E0">
          <w:rPr>
            <w:rStyle w:val="a3"/>
          </w:rPr>
          <w:t>https://pensnews.ru/article/9758</w:t>
        </w:r>
      </w:hyperlink>
    </w:p>
    <w:p w:rsidR="00747F0F" w:rsidRPr="009234E0" w:rsidRDefault="00747F0F" w:rsidP="00747F0F"/>
    <w:p w:rsidR="00D1642B" w:rsidRPr="009234E0" w:rsidRDefault="00D1642B" w:rsidP="00D1642B">
      <w:pPr>
        <w:pStyle w:val="251"/>
      </w:pPr>
      <w:bookmarkStart w:id="64" w:name="_Toc99271704"/>
      <w:bookmarkStart w:id="65" w:name="_Toc99318656"/>
      <w:bookmarkStart w:id="66" w:name="_Toc62681899"/>
      <w:bookmarkStart w:id="67" w:name="_Toc147905672"/>
      <w:bookmarkEnd w:id="17"/>
      <w:bookmarkEnd w:id="18"/>
      <w:bookmarkEnd w:id="22"/>
      <w:bookmarkEnd w:id="23"/>
      <w:bookmarkEnd w:id="24"/>
      <w:bookmarkEnd w:id="35"/>
      <w:r w:rsidRPr="009234E0">
        <w:lastRenderedPageBreak/>
        <w:t>НОВОСТИ МАКРОЭКОНОМИКИ</w:t>
      </w:r>
      <w:bookmarkEnd w:id="64"/>
      <w:bookmarkEnd w:id="65"/>
      <w:bookmarkEnd w:id="67"/>
    </w:p>
    <w:p w:rsidR="0065305F" w:rsidRPr="009234E0" w:rsidRDefault="0065305F" w:rsidP="0065305F">
      <w:pPr>
        <w:pStyle w:val="2"/>
      </w:pPr>
      <w:bookmarkStart w:id="68" w:name="_Toc99271711"/>
      <w:bookmarkStart w:id="69" w:name="_Toc99318657"/>
      <w:bookmarkStart w:id="70" w:name="_Toc147905673"/>
      <w:r w:rsidRPr="009234E0">
        <w:t>РИА Новости, 10.10.2023, Мишустин: РФ обладает большим инновационным потенциалом</w:t>
      </w:r>
      <w:bookmarkEnd w:id="70"/>
    </w:p>
    <w:p w:rsidR="0065305F" w:rsidRPr="009234E0" w:rsidRDefault="0065305F" w:rsidP="009234E0">
      <w:pPr>
        <w:pStyle w:val="3"/>
      </w:pPr>
      <w:bookmarkStart w:id="71" w:name="_Toc147905674"/>
      <w:r w:rsidRPr="009234E0">
        <w:t>Россия обладает большим инновационным потенциалом, ученые создают востребованные решения на основе искусственного интеллекта, квантовых вычислений и коммуникаций, а также новых материалов, у РФ достаточно возможностей, чтобы наладить полный цикл выпуска изделий для различных сфер экономики, заявил премьер-министр РФ Михаил Мишустин.</w:t>
      </w:r>
      <w:bookmarkEnd w:id="71"/>
    </w:p>
    <w:p w:rsidR="0065305F" w:rsidRPr="009234E0" w:rsidRDefault="0065305F" w:rsidP="0065305F">
      <w:r w:rsidRPr="009234E0">
        <w:t xml:space="preserve">К видеообращению участникам и организаторам IX форума </w:t>
      </w:r>
      <w:r w:rsidR="00E635F7" w:rsidRPr="009234E0">
        <w:t>«</w:t>
      </w:r>
      <w:r w:rsidRPr="009234E0">
        <w:t>Микроэлектроника-2023</w:t>
      </w:r>
      <w:r w:rsidR="00E635F7" w:rsidRPr="009234E0">
        <w:t>»</w:t>
      </w:r>
      <w:r w:rsidRPr="009234E0">
        <w:t xml:space="preserve"> он отметил, что развитие электронной промышленности имеет стратегическое значение в современных условиях, от достижений в этой сфере зависит технологический суверенитет и безопасность государства.</w:t>
      </w:r>
    </w:p>
    <w:p w:rsidR="0065305F" w:rsidRPr="009234E0" w:rsidRDefault="00E635F7" w:rsidP="0065305F">
      <w:r w:rsidRPr="009234E0">
        <w:t>«</w:t>
      </w:r>
      <w:r w:rsidR="0065305F" w:rsidRPr="009234E0">
        <w:t>Россия обладает большим инновационным потенциалом. Отечественные ученые создают востребованные решения на основе искусственного интеллекта, квантовых вычислений и коммуникаций, а также новых материалов. У нас достаточно возможностей, чтобы наладить полный цикл выпуска изделий для сфер экономики. Среди них - энергетика и строительство, финансовый сектор, транспорт и связь</w:t>
      </w:r>
      <w:r w:rsidRPr="009234E0">
        <w:t>»</w:t>
      </w:r>
      <w:r w:rsidR="0065305F" w:rsidRPr="009234E0">
        <w:t>, - сказал Мишустин.</w:t>
      </w:r>
    </w:p>
    <w:p w:rsidR="0065305F" w:rsidRPr="009234E0" w:rsidRDefault="0065305F" w:rsidP="0065305F">
      <w:r w:rsidRPr="009234E0">
        <w:t xml:space="preserve">Он напомнил, что в прошлом году президент объявил Десятилетие науки и технологий. Его главная цель - вовлечение исследовательских организаций и инвестиционных фондов в выполнение важнейших задач, стоящих перед страной. </w:t>
      </w:r>
      <w:r w:rsidR="00E635F7" w:rsidRPr="009234E0">
        <w:t>«</w:t>
      </w:r>
      <w:r w:rsidRPr="009234E0">
        <w:t>И такая работа активно ведется. В том числе открываются предприятия, которые позволят повысить национальную конкурентоспособность</w:t>
      </w:r>
      <w:r w:rsidR="00E635F7" w:rsidRPr="009234E0">
        <w:t>»</w:t>
      </w:r>
      <w:r w:rsidRPr="009234E0">
        <w:t>, - сказал глава правительства.</w:t>
      </w:r>
    </w:p>
    <w:p w:rsidR="0065305F" w:rsidRPr="009234E0" w:rsidRDefault="0065305F" w:rsidP="0065305F">
      <w:r w:rsidRPr="009234E0">
        <w:t xml:space="preserve">Микроэлектроника считается основой технологического суверенитета страны. Цель форума </w:t>
      </w:r>
      <w:r w:rsidR="00E635F7" w:rsidRPr="009234E0">
        <w:t>«</w:t>
      </w:r>
      <w:r w:rsidRPr="009234E0">
        <w:t>Микроэлектроника 2023</w:t>
      </w:r>
      <w:r w:rsidR="00E635F7" w:rsidRPr="009234E0">
        <w:t>»</w:t>
      </w:r>
      <w:r w:rsidRPr="009234E0">
        <w:t>, проходящего в Сочи, - комплексно рассмотреть актуальные вопросы разработки, производства и применения отечественной электронной компонентной базы и высокоинтегрированных электронных модулей, содействовать развитию отечественной микроэлектроники, представить разработки и возможности современных технологий.</w:t>
      </w:r>
    </w:p>
    <w:p w:rsidR="0065305F" w:rsidRPr="009234E0" w:rsidRDefault="0065305F" w:rsidP="0065305F">
      <w:r w:rsidRPr="009234E0">
        <w:t xml:space="preserve">Организаторы форума - АО </w:t>
      </w:r>
      <w:r w:rsidR="00E635F7" w:rsidRPr="009234E0">
        <w:t>«</w:t>
      </w:r>
      <w:r w:rsidRPr="009234E0">
        <w:t>НИИМЭ</w:t>
      </w:r>
      <w:r w:rsidR="00E635F7" w:rsidRPr="009234E0">
        <w:t>»</w:t>
      </w:r>
      <w:r w:rsidRPr="009234E0">
        <w:t xml:space="preserve"> и АО </w:t>
      </w:r>
      <w:r w:rsidR="00E635F7" w:rsidRPr="009234E0">
        <w:t>«</w:t>
      </w:r>
      <w:r w:rsidRPr="009234E0">
        <w:t xml:space="preserve">НИИМА </w:t>
      </w:r>
      <w:r w:rsidR="00E635F7" w:rsidRPr="009234E0">
        <w:t>«</w:t>
      </w:r>
      <w:r w:rsidRPr="009234E0">
        <w:t>Прогресс</w:t>
      </w:r>
      <w:r w:rsidR="00E635F7" w:rsidRPr="009234E0">
        <w:t>»</w:t>
      </w:r>
      <w:r w:rsidRPr="009234E0">
        <w:t xml:space="preserve"> при поддержке министерства промышленности и торговли и министерства науки и высшего образования РФ. РИА Новости - стратегический информационный партнер форума.</w:t>
      </w:r>
    </w:p>
    <w:p w:rsidR="0065305F" w:rsidRPr="009234E0" w:rsidRDefault="0065305F" w:rsidP="0065305F">
      <w:pPr>
        <w:pStyle w:val="2"/>
      </w:pPr>
      <w:bookmarkStart w:id="72" w:name="_Toc147905675"/>
      <w:r w:rsidRPr="009234E0">
        <w:lastRenderedPageBreak/>
        <w:t>РИА Новости, 10.10.2023, Мишустин: будем и дальше предлагать механизмы помощи отрасли электроники</w:t>
      </w:r>
      <w:bookmarkEnd w:id="72"/>
    </w:p>
    <w:p w:rsidR="0065305F" w:rsidRPr="009234E0" w:rsidRDefault="0065305F" w:rsidP="009234E0">
      <w:pPr>
        <w:pStyle w:val="3"/>
      </w:pPr>
      <w:bookmarkStart w:id="73" w:name="_Toc147905676"/>
      <w:r w:rsidRPr="009234E0">
        <w:t>Российское правительство продолжит предлагать эффективные механизмы помощи отрасли электроники, заявил премьер-министр РФ Михаил Мишустин.</w:t>
      </w:r>
      <w:bookmarkEnd w:id="73"/>
    </w:p>
    <w:p w:rsidR="0065305F" w:rsidRPr="009234E0" w:rsidRDefault="0065305F" w:rsidP="0065305F">
      <w:r w:rsidRPr="009234E0">
        <w:t xml:space="preserve">В видеообращении к участникам и организаторам IX форума </w:t>
      </w:r>
      <w:r w:rsidR="00E635F7" w:rsidRPr="009234E0">
        <w:t>«</w:t>
      </w:r>
      <w:r w:rsidRPr="009234E0">
        <w:t>Микроэлектроника-2023</w:t>
      </w:r>
      <w:r w:rsidR="00E635F7" w:rsidRPr="009234E0">
        <w:t>»</w:t>
      </w:r>
      <w:r w:rsidRPr="009234E0">
        <w:t xml:space="preserve"> он напомнил, что кабмин уделяет особое внимание формированию комфортных условий для компаний, занятых в области электроники.</w:t>
      </w:r>
    </w:p>
    <w:p w:rsidR="0065305F" w:rsidRPr="009234E0" w:rsidRDefault="00E635F7" w:rsidP="0065305F">
      <w:r w:rsidRPr="009234E0">
        <w:t>«</w:t>
      </w:r>
      <w:r w:rsidR="0065305F" w:rsidRPr="009234E0">
        <w:t>За счет налоговых преференций только за прошлый год организации сэкономили почти девять миллиардов рублей. А по страховым взносам - свыше шести миллиардов. Эти средства можно направить на расширение бизнеса, запуск новых проектов</w:t>
      </w:r>
      <w:r w:rsidRPr="009234E0">
        <w:t>»</w:t>
      </w:r>
      <w:r w:rsidR="0065305F" w:rsidRPr="009234E0">
        <w:t>, - сказал Мишустин.</w:t>
      </w:r>
    </w:p>
    <w:p w:rsidR="0065305F" w:rsidRPr="009234E0" w:rsidRDefault="00E635F7" w:rsidP="0065305F">
      <w:r w:rsidRPr="009234E0">
        <w:t>«</w:t>
      </w:r>
      <w:r w:rsidR="0065305F" w:rsidRPr="009234E0">
        <w:t>Благодаря принятым мерам оборот производителей радиоэлектроники за первое полугодие увеличился на треть по сравнению с аналогичным периодом прошлого года. И превысил 932 миллиарда рублей. Будем и дальше предлагать эффективные механизмы помощи отрасли</w:t>
      </w:r>
      <w:r w:rsidRPr="009234E0">
        <w:t>»</w:t>
      </w:r>
      <w:r w:rsidR="0065305F" w:rsidRPr="009234E0">
        <w:t>, - добавил премьер.</w:t>
      </w:r>
    </w:p>
    <w:p w:rsidR="0065305F" w:rsidRPr="009234E0" w:rsidRDefault="0065305F" w:rsidP="0065305F">
      <w:r w:rsidRPr="009234E0">
        <w:t>Он подчеркнул, что многое еще предстоит сделать.</w:t>
      </w:r>
    </w:p>
    <w:p w:rsidR="0065305F" w:rsidRPr="009234E0" w:rsidRDefault="00E635F7" w:rsidP="0065305F">
      <w:r w:rsidRPr="009234E0">
        <w:t>«</w:t>
      </w:r>
      <w:r w:rsidR="0065305F" w:rsidRPr="009234E0">
        <w:t>Уверен, совместными усилиями мы обязательно добьемся успеха</w:t>
      </w:r>
      <w:r w:rsidRPr="009234E0">
        <w:t>»</w:t>
      </w:r>
      <w:r w:rsidR="0065305F" w:rsidRPr="009234E0">
        <w:t>, - отметил Мишустин.</w:t>
      </w:r>
    </w:p>
    <w:p w:rsidR="0065305F" w:rsidRPr="009234E0" w:rsidRDefault="0065305F" w:rsidP="0065305F">
      <w:r w:rsidRPr="009234E0">
        <w:t xml:space="preserve">Микроэлектроника считается основой технологического суверенитета страны. Цель форума </w:t>
      </w:r>
      <w:r w:rsidR="00E635F7" w:rsidRPr="009234E0">
        <w:t>«</w:t>
      </w:r>
      <w:r w:rsidRPr="009234E0">
        <w:t>Микроэлектроника 2023</w:t>
      </w:r>
      <w:r w:rsidR="00E635F7" w:rsidRPr="009234E0">
        <w:t>»</w:t>
      </w:r>
      <w:r w:rsidRPr="009234E0">
        <w:t>, проходящего в Сочи, - комплексно рассмотреть актуальные вопросы разработки, производства и применения отечественной электронной компонентной базы и высокоинтегрированных электронных модулей, содействовать развитию отечественной микроэлектроники, представить разработки и возможности современных технологий.</w:t>
      </w:r>
    </w:p>
    <w:p w:rsidR="0065305F" w:rsidRPr="009234E0" w:rsidRDefault="0065305F" w:rsidP="0065305F">
      <w:pPr>
        <w:pStyle w:val="2"/>
      </w:pPr>
      <w:bookmarkStart w:id="74" w:name="_Toc147905677"/>
      <w:r w:rsidRPr="009234E0">
        <w:t>ТАСС, 10.10.2023, Более 260 млрд руб. направят на госпрограмму охраны окружающей среды до 2027 г.</w:t>
      </w:r>
      <w:bookmarkEnd w:id="74"/>
    </w:p>
    <w:p w:rsidR="0065305F" w:rsidRPr="009234E0" w:rsidRDefault="0065305F" w:rsidP="009234E0">
      <w:pPr>
        <w:pStyle w:val="3"/>
      </w:pPr>
      <w:bookmarkStart w:id="75" w:name="_Toc147905678"/>
      <w:r w:rsidRPr="009234E0">
        <w:t>Финансирование государственной программы по охране окружающей среды в проекте бюджета на 2024-2026 годы составит более 260 млрд рублей. Об этом заявила журналистам заместитель председателя российского правительства Виктория Абрамченко на Российском экологическом форуме.</w:t>
      </w:r>
      <w:bookmarkEnd w:id="75"/>
    </w:p>
    <w:p w:rsidR="0065305F" w:rsidRPr="009234E0" w:rsidRDefault="00E635F7" w:rsidP="0065305F">
      <w:r w:rsidRPr="009234E0">
        <w:t>«</w:t>
      </w:r>
      <w:r w:rsidR="0065305F" w:rsidRPr="009234E0">
        <w:t>Покушались на экологические бюджеты, и было желание секвестировать именно эти направления. Считаю нашей общей победой и благодарю за это и профильные Министерства природных ресурсов и финансов РФ - нам удалось отстоять ключевые направления. Больше 260 миллиардов рублей - это только одна государственная программа охраны окружающей среды</w:t>
      </w:r>
      <w:r w:rsidRPr="009234E0">
        <w:t>»</w:t>
      </w:r>
      <w:r w:rsidR="0065305F" w:rsidRPr="009234E0">
        <w:t>, - сказала Абрамченко.</w:t>
      </w:r>
    </w:p>
    <w:p w:rsidR="0065305F" w:rsidRPr="009234E0" w:rsidRDefault="0065305F" w:rsidP="0065305F">
      <w:r w:rsidRPr="009234E0">
        <w:t xml:space="preserve">Кроме того, на федеральную инициативу </w:t>
      </w:r>
      <w:r w:rsidR="00E635F7" w:rsidRPr="009234E0">
        <w:t>«</w:t>
      </w:r>
      <w:r w:rsidRPr="009234E0">
        <w:t>Экономика замкнутого цикла</w:t>
      </w:r>
      <w:r w:rsidR="00E635F7" w:rsidRPr="009234E0">
        <w:t>»</w:t>
      </w:r>
      <w:r w:rsidRPr="009234E0">
        <w:t xml:space="preserve"> сохранилось финансирование в размере более 5 миллиардов рублей на 2024 год.</w:t>
      </w:r>
    </w:p>
    <w:p w:rsidR="0065305F" w:rsidRPr="009234E0" w:rsidRDefault="0065305F" w:rsidP="0065305F">
      <w:pPr>
        <w:pStyle w:val="2"/>
      </w:pPr>
      <w:bookmarkStart w:id="76" w:name="_Toc147905679"/>
      <w:r w:rsidRPr="009234E0">
        <w:lastRenderedPageBreak/>
        <w:t>РИА Новости, 10.10.2023, Более 210 млрд руб будет направлено на развитие микроэлектроники в РФ в 2024 г - Мантуров</w:t>
      </w:r>
      <w:bookmarkEnd w:id="76"/>
    </w:p>
    <w:p w:rsidR="0065305F" w:rsidRPr="009234E0" w:rsidRDefault="0065305F" w:rsidP="009234E0">
      <w:pPr>
        <w:pStyle w:val="3"/>
      </w:pPr>
      <w:bookmarkStart w:id="77" w:name="_Toc147905680"/>
      <w:r w:rsidRPr="009234E0">
        <w:t xml:space="preserve">Бюджетные инвестиции в развитие российской микроэлектроники в 2024 году превысят 210 миллиардов рублей, сообщил вице-премьер - глава Минпромторга РФ Денис Мантуров, выступая на пленарной сессии форума </w:t>
      </w:r>
      <w:r w:rsidR="00E635F7" w:rsidRPr="009234E0">
        <w:t>«</w:t>
      </w:r>
      <w:r w:rsidRPr="009234E0">
        <w:t>Микроэлектроника</w:t>
      </w:r>
      <w:r w:rsidR="00E635F7" w:rsidRPr="009234E0">
        <w:t>»</w:t>
      </w:r>
      <w:r w:rsidRPr="009234E0">
        <w:t>.</w:t>
      </w:r>
      <w:bookmarkEnd w:id="77"/>
    </w:p>
    <w:p w:rsidR="0065305F" w:rsidRPr="009234E0" w:rsidRDefault="0065305F" w:rsidP="0065305F">
      <w:r w:rsidRPr="009234E0">
        <w:t xml:space="preserve">Он подчеркнул, что из-за катастрофического недофинансирования в 90-е годы российская микроэлектроника утратила свои сильные рыночные позиции. При этом глобальный переход к модели </w:t>
      </w:r>
      <w:r w:rsidR="00E635F7" w:rsidRPr="009234E0">
        <w:t>«</w:t>
      </w:r>
      <w:r w:rsidRPr="009234E0">
        <w:t>фаблесс-фаундри</w:t>
      </w:r>
      <w:r w:rsidR="00E635F7" w:rsidRPr="009234E0">
        <w:t>»</w:t>
      </w:r>
      <w:r w:rsidRPr="009234E0">
        <w:t xml:space="preserve"> помог удержать высокие позиции в проектировании, но существенно усугубил отставание в технологическом уровне.</w:t>
      </w:r>
    </w:p>
    <w:p w:rsidR="0065305F" w:rsidRPr="009234E0" w:rsidRDefault="00E635F7" w:rsidP="0065305F">
      <w:r w:rsidRPr="009234E0">
        <w:t>«</w:t>
      </w:r>
      <w:r w:rsidR="0065305F" w:rsidRPr="009234E0">
        <w:t>Сейчас нужно сделать все, чтобы сократить этот разрыв. Причем в сжатые сроки. С учетом этого государство кратно повысило уровень финансирования. Еще в 2020 году бюджетные инвестиции не превышали 10 миллиардов рублей. В нынешнем году они составили уже 147 миллиардов, а в следующем превысят 210 миллиардов рублей. Это позволяет нам одновременно выстроить полноценную систему управления отрасли и обеспечить ее всестороннюю поддержку</w:t>
      </w:r>
      <w:r w:rsidRPr="009234E0">
        <w:t>»</w:t>
      </w:r>
      <w:r w:rsidR="0065305F" w:rsidRPr="009234E0">
        <w:t>, - отметил Мантуров.</w:t>
      </w:r>
    </w:p>
    <w:p w:rsidR="0065305F" w:rsidRPr="009234E0" w:rsidRDefault="0065305F" w:rsidP="0065305F">
      <w:r w:rsidRPr="009234E0">
        <w:t xml:space="preserve">Форум </w:t>
      </w:r>
      <w:r w:rsidR="00E635F7" w:rsidRPr="009234E0">
        <w:t>«</w:t>
      </w:r>
      <w:r w:rsidRPr="009234E0">
        <w:t>Микроэлектроника 2023</w:t>
      </w:r>
      <w:r w:rsidR="00E635F7" w:rsidRPr="009234E0">
        <w:t>»</w:t>
      </w:r>
      <w:r w:rsidRPr="009234E0">
        <w:t xml:space="preserve"> проходит с 9 по 14 октября на федеральной территории </w:t>
      </w:r>
      <w:r w:rsidR="00E635F7" w:rsidRPr="009234E0">
        <w:t>«</w:t>
      </w:r>
      <w:r w:rsidRPr="009234E0">
        <w:t>Сириус</w:t>
      </w:r>
      <w:r w:rsidR="00E635F7" w:rsidRPr="009234E0">
        <w:t>»</w:t>
      </w:r>
      <w:r w:rsidRPr="009234E0">
        <w:t xml:space="preserve">. Организаторы форума - АО </w:t>
      </w:r>
      <w:r w:rsidR="00E635F7" w:rsidRPr="009234E0">
        <w:t>«</w:t>
      </w:r>
      <w:r w:rsidRPr="009234E0">
        <w:t>НИИ Молекулярной электроники</w:t>
      </w:r>
      <w:r w:rsidR="00E635F7" w:rsidRPr="009234E0">
        <w:t>»</w:t>
      </w:r>
      <w:r w:rsidRPr="009234E0">
        <w:t xml:space="preserve"> и АО </w:t>
      </w:r>
      <w:r w:rsidR="00E635F7" w:rsidRPr="009234E0">
        <w:t>«</w:t>
      </w:r>
      <w:r w:rsidRPr="009234E0">
        <w:t xml:space="preserve">НИИ Микроэлектронной аппаратуры </w:t>
      </w:r>
      <w:r w:rsidR="00E635F7" w:rsidRPr="009234E0">
        <w:t>«</w:t>
      </w:r>
      <w:r w:rsidRPr="009234E0">
        <w:t>Прогресс</w:t>
      </w:r>
      <w:r w:rsidR="00E635F7" w:rsidRPr="009234E0">
        <w:t>»</w:t>
      </w:r>
      <w:r w:rsidRPr="009234E0">
        <w:t xml:space="preserve"> при поддержке министерства промышленности и торговли РФ, министерства науки и высшего образования РФ.</w:t>
      </w:r>
    </w:p>
    <w:p w:rsidR="0065305F" w:rsidRPr="009234E0" w:rsidRDefault="0065305F" w:rsidP="0065305F">
      <w:pPr>
        <w:pStyle w:val="2"/>
      </w:pPr>
      <w:bookmarkStart w:id="78" w:name="_Toc147905681"/>
      <w:r w:rsidRPr="009234E0">
        <w:t>РИА Новости, 10.10.2023, Володин выступает за повышение ответственности зампредов, членов совета директоров ЦБ РФ</w:t>
      </w:r>
      <w:bookmarkEnd w:id="78"/>
    </w:p>
    <w:p w:rsidR="0065305F" w:rsidRPr="009234E0" w:rsidRDefault="0065305F" w:rsidP="009234E0">
      <w:pPr>
        <w:pStyle w:val="3"/>
      </w:pPr>
      <w:bookmarkStart w:id="79" w:name="_Toc147905682"/>
      <w:r w:rsidRPr="009234E0">
        <w:t>Председатель Госдумы Вячеслав Володин выступает за повышение ответственности зампредов, членов совета директоров Банка России, сообщает думская пресс-служба.</w:t>
      </w:r>
      <w:bookmarkEnd w:id="79"/>
    </w:p>
    <w:p w:rsidR="0065305F" w:rsidRPr="009234E0" w:rsidRDefault="00E635F7" w:rsidP="0065305F">
      <w:r w:rsidRPr="009234E0">
        <w:t>«</w:t>
      </w:r>
      <w:r w:rsidR="0065305F" w:rsidRPr="009234E0">
        <w:t>В Центробанке должна быть более высокая персональная ответственность зампредов, членов совета директоров</w:t>
      </w:r>
      <w:r w:rsidRPr="009234E0">
        <w:t>»</w:t>
      </w:r>
      <w:r w:rsidR="0065305F" w:rsidRPr="009234E0">
        <w:t>, - заявил Володин по итогам встречи с председателем Банка России Эльвирой Набиуллиной.</w:t>
      </w:r>
    </w:p>
    <w:p w:rsidR="0065305F" w:rsidRPr="009234E0" w:rsidRDefault="00E635F7" w:rsidP="0065305F">
      <w:r w:rsidRPr="009234E0">
        <w:t>«</w:t>
      </w:r>
      <w:r w:rsidR="0065305F" w:rsidRPr="009234E0">
        <w:t>Это необходимо, чтобы человек, который входит в совет директоров Центробанка, понимал, что если он эффективен - ему спасибо скажут, неэффективен - его уволят, и потом не трудоустроится ни в какой частный банк. Тогда и эффективность будет повышаться</w:t>
      </w:r>
      <w:r w:rsidRPr="009234E0">
        <w:t>»</w:t>
      </w:r>
      <w:r w:rsidR="0065305F" w:rsidRPr="009234E0">
        <w:t>, - пояснил спикер Госдумы.</w:t>
      </w:r>
    </w:p>
    <w:p w:rsidR="0065305F" w:rsidRPr="009234E0" w:rsidRDefault="0065305F" w:rsidP="0065305F">
      <w:r w:rsidRPr="009234E0">
        <w:t xml:space="preserve">Володин считает, что формат таких встреч следует продолжать. </w:t>
      </w:r>
      <w:r w:rsidR="00E635F7" w:rsidRPr="009234E0">
        <w:t>«</w:t>
      </w:r>
      <w:r w:rsidRPr="009234E0">
        <w:t>Более того, возможно, приглашать для участия в нем и правительство. Вызовы, с которыми мы столкнулись, беспрецедентны. Задумайтесь, 17,5 тысячи санкций. ЦБ в этой ситуации решения принимает. Да, есть вопросы, нужно их обсуждать, но посмотрите, что в других странах, где нет этих вызовов. Какая там инфляция и какие проблемы</w:t>
      </w:r>
      <w:r w:rsidR="00E635F7" w:rsidRPr="009234E0">
        <w:t>»</w:t>
      </w:r>
      <w:r w:rsidRPr="009234E0">
        <w:t>, - приводит слова спикера думская пресс-служба.</w:t>
      </w:r>
    </w:p>
    <w:p w:rsidR="0065305F" w:rsidRPr="009234E0" w:rsidRDefault="0065305F" w:rsidP="0065305F">
      <w:r w:rsidRPr="009234E0">
        <w:lastRenderedPageBreak/>
        <w:t>Во встрече, которая продолжалась более двух часов, приняли также участие руководители всех думских фракций и председатели профильных комитетов. Обсуждались текущие проблемы и задачи в рамках совместной работы по вопросам денежно-кредитной политики, а также социально-экономического развития страны.</w:t>
      </w:r>
    </w:p>
    <w:p w:rsidR="0065305F" w:rsidRPr="009234E0" w:rsidRDefault="0065305F" w:rsidP="0065305F">
      <w:pPr>
        <w:pStyle w:val="2"/>
      </w:pPr>
      <w:bookmarkStart w:id="80" w:name="_Toc147905683"/>
      <w:r w:rsidRPr="009234E0">
        <w:t>ТАСС, 10.10.2023, Направленность заложенной в проект бюджета на 2024-2026 гг. политики сохранится</w:t>
      </w:r>
      <w:bookmarkEnd w:id="80"/>
    </w:p>
    <w:p w:rsidR="0065305F" w:rsidRPr="009234E0" w:rsidRDefault="0065305F" w:rsidP="009234E0">
      <w:pPr>
        <w:pStyle w:val="3"/>
      </w:pPr>
      <w:bookmarkStart w:id="81" w:name="_Toc147905684"/>
      <w:r w:rsidRPr="009234E0">
        <w:t xml:space="preserve">Поправки к проекту федерального бюджета РФ на 2024-2026 гг. могут быть представлены ко второму чтению документа в Госдуме, но заложенная в проекте бюджетная политика сохранит направленность и целостность. Об этом заявил министр финансов РФ Антон Силуанов в интервью Наиле Аскер-заде на телеканале </w:t>
      </w:r>
      <w:r w:rsidR="00E635F7" w:rsidRPr="009234E0">
        <w:t>«</w:t>
      </w:r>
      <w:r w:rsidRPr="009234E0">
        <w:t>Россия-24</w:t>
      </w:r>
      <w:r w:rsidR="00E635F7" w:rsidRPr="009234E0">
        <w:t>»</w:t>
      </w:r>
      <w:r w:rsidRPr="009234E0">
        <w:t>.</w:t>
      </w:r>
      <w:bookmarkEnd w:id="81"/>
    </w:p>
    <w:p w:rsidR="0065305F" w:rsidRPr="009234E0" w:rsidRDefault="00E635F7" w:rsidP="0065305F">
      <w:r w:rsidRPr="009234E0">
        <w:t>«</w:t>
      </w:r>
      <w:r w:rsidR="0065305F" w:rsidRPr="009234E0">
        <w:t>Основной финансовый документ уже в парламенте. Уже начались обсуждения бюджета на предстоящую трехлетку, (он) проходит комитеты Государственной думы. Будут ли какие-то существенные изменения политики? Думаю, что мы пройдем этот бюджетный процесс таким образом, что тот вектор бюджетной политики, который был выработан, обсуждался с парламентариями до того, как мы вносили проект бюджета в Госдуму, были совещания по бюджету в Министерстве финансов и в правительстве. Наши коллеги по парламенту уже участвовали в выработке основных векторов бюджетной политики, поэтому бюджетная политика, на мой взгляд, сохранит ту направленность и целостность, которая была заложена правительством</w:t>
      </w:r>
      <w:r w:rsidRPr="009234E0">
        <w:t>»</w:t>
      </w:r>
      <w:r w:rsidR="0065305F" w:rsidRPr="009234E0">
        <w:t>, - сказал Силуанов.</w:t>
      </w:r>
    </w:p>
    <w:p w:rsidR="0065305F" w:rsidRPr="009234E0" w:rsidRDefault="0065305F" w:rsidP="0065305F">
      <w:r w:rsidRPr="009234E0">
        <w:t>Тем не менее, отметил министр, ко второму чтению депутаты, как правило, предлагают изменения тех или иных параметров программ, проектов, мероприятий, и Минфин вместе с депутатами отрабатывает эти предложения.</w:t>
      </w:r>
    </w:p>
    <w:p w:rsidR="0065305F" w:rsidRPr="009234E0" w:rsidRDefault="00E635F7" w:rsidP="0065305F">
      <w:r w:rsidRPr="009234E0">
        <w:t>«</w:t>
      </w:r>
      <w:r w:rsidR="0065305F" w:rsidRPr="009234E0">
        <w:t>Думаю, что в этом году точно такой же подход продолжится, и ко второму чтению мы вместе с депутатами выработаем определенные поправки, которые, безусловно, улучшат этот документ. И взаимодействие с парламентариями всегда идет на пользу основному финансовому плану страны</w:t>
      </w:r>
      <w:r w:rsidRPr="009234E0">
        <w:t>»</w:t>
      </w:r>
      <w:r w:rsidR="0065305F" w:rsidRPr="009234E0">
        <w:t>, - отметил глава Минфина.</w:t>
      </w:r>
    </w:p>
    <w:p w:rsidR="0065305F" w:rsidRPr="009234E0" w:rsidRDefault="0065305F" w:rsidP="0065305F">
      <w:pPr>
        <w:pStyle w:val="2"/>
      </w:pPr>
      <w:bookmarkStart w:id="82" w:name="_Toc147905685"/>
      <w:r w:rsidRPr="009234E0">
        <w:t>ТАСС, 10.10.2023, Минфин считает приватизацию одним из ресурсов пополнения бюджета - Силуанов</w:t>
      </w:r>
      <w:bookmarkEnd w:id="82"/>
    </w:p>
    <w:p w:rsidR="0065305F" w:rsidRPr="009234E0" w:rsidRDefault="0065305F" w:rsidP="009234E0">
      <w:pPr>
        <w:pStyle w:val="3"/>
      </w:pPr>
      <w:bookmarkStart w:id="83" w:name="_Toc147905686"/>
      <w:r w:rsidRPr="009234E0">
        <w:t xml:space="preserve">Министерство финансов РФ рассматривает приватизацию в качестве одного из возможных источников пополнения бюджета. Об этом в интервью Наиле Аскер-заде на телеканале </w:t>
      </w:r>
      <w:r w:rsidR="00E635F7" w:rsidRPr="009234E0">
        <w:t>«</w:t>
      </w:r>
      <w:r w:rsidRPr="009234E0">
        <w:t>Россия-24</w:t>
      </w:r>
      <w:r w:rsidR="00E635F7" w:rsidRPr="009234E0">
        <w:t>»</w:t>
      </w:r>
      <w:r w:rsidRPr="009234E0">
        <w:t xml:space="preserve"> заявил министр финансов России Антон Силуанов.</w:t>
      </w:r>
      <w:bookmarkEnd w:id="83"/>
    </w:p>
    <w:p w:rsidR="0065305F" w:rsidRPr="009234E0" w:rsidRDefault="00E635F7" w:rsidP="0065305F">
      <w:r w:rsidRPr="009234E0">
        <w:t>«</w:t>
      </w:r>
      <w:r w:rsidR="0065305F" w:rsidRPr="009234E0">
        <w:t>Могу сказать, что у нас есть еще один ресурс - конечно, это приватизация, и можно было бы посмотреть дополнительно в следующем году по реализации отдельных активов государства... без потери контроля со стороны государства. Но это вопрос такой более точечный, я сейчас даже не хотел бы останавливаться на конкретно каких-то примерах, этот вопрос должен обсуждаться в правительстве. Это тоже хороший источник финансирования бюджетных трат</w:t>
      </w:r>
      <w:r w:rsidRPr="009234E0">
        <w:t>»</w:t>
      </w:r>
      <w:r w:rsidR="0065305F" w:rsidRPr="009234E0">
        <w:t>, - отметил он.</w:t>
      </w:r>
    </w:p>
    <w:p w:rsidR="0065305F" w:rsidRPr="009234E0" w:rsidRDefault="0065305F" w:rsidP="0065305F">
      <w:r w:rsidRPr="009234E0">
        <w:lastRenderedPageBreak/>
        <w:t>На парламентских слушаниях в Совете Федерации министр финансов отмечал, что Минфин подготовил список компаний, которые дополнительно можно включить в перечень для приватизации.</w:t>
      </w:r>
    </w:p>
    <w:p w:rsidR="0065305F" w:rsidRPr="009234E0" w:rsidRDefault="0065305F" w:rsidP="0065305F">
      <w:r w:rsidRPr="009234E0">
        <w:t>При этом, как сообщал ранее ТАСС со ссылкой на материалы к проекту федерального бюджета на 2024 год и плановый период 2025-2026 годов, российский бюджет может получить от приватизации федерального имущества в 2024 году 1,229 млрд рублей, в 2025 и 2026 годах - по 1,226 млрд рублей.</w:t>
      </w:r>
    </w:p>
    <w:p w:rsidR="0065305F" w:rsidRPr="009234E0" w:rsidRDefault="0065305F" w:rsidP="0065305F">
      <w:pPr>
        <w:pStyle w:val="2"/>
      </w:pPr>
      <w:bookmarkStart w:id="84" w:name="_Toc147905687"/>
      <w:r w:rsidRPr="009234E0">
        <w:t>ТАСС, 10.10.2023, Новые регионы в 2024 г. будут полностью интегрированы в бюджетную систему РФ</w:t>
      </w:r>
      <w:bookmarkEnd w:id="84"/>
    </w:p>
    <w:p w:rsidR="0065305F" w:rsidRPr="009234E0" w:rsidRDefault="0065305F" w:rsidP="009234E0">
      <w:pPr>
        <w:pStyle w:val="3"/>
      </w:pPr>
      <w:bookmarkStart w:id="85" w:name="_Toc147905688"/>
      <w:r w:rsidRPr="009234E0">
        <w:t xml:space="preserve">Новые регионы в 2024 г. будут полностью интегрированы в российскую систему межбюджетных отношений и в общее правовое пространство, заявил министр финансов РФ Антон Силуанов в интервью Наиле Аскер-заде на телеканале </w:t>
      </w:r>
      <w:r w:rsidR="00E635F7" w:rsidRPr="009234E0">
        <w:t>«</w:t>
      </w:r>
      <w:r w:rsidRPr="009234E0">
        <w:t>Россия-24</w:t>
      </w:r>
      <w:r w:rsidR="00E635F7" w:rsidRPr="009234E0">
        <w:t>»</w:t>
      </w:r>
      <w:r w:rsidRPr="009234E0">
        <w:t>.</w:t>
      </w:r>
      <w:bookmarkEnd w:id="85"/>
    </w:p>
    <w:p w:rsidR="0065305F" w:rsidRPr="009234E0" w:rsidRDefault="00E635F7" w:rsidP="0065305F">
      <w:r w:rsidRPr="009234E0">
        <w:t>«</w:t>
      </w:r>
      <w:r w:rsidR="0065305F" w:rsidRPr="009234E0">
        <w:t>Новые регионы. Тоже не могу об этом не сказать. Помимо продолжения всех программ по поддержке субъектов РФ, особое внимание новым регионам. 4 региона, теперь они полностью интегрируются в систему межбюджетных отношений. &lt;?&gt; То есть полная интеграция новых регионов в общее правовое пространство РФ в следующем году будет обеспечиваться. Это тоже тема бюджета, это тоже тема направления финансовых ресурсов государства по соответствующим видам расходов</w:t>
      </w:r>
      <w:r w:rsidRPr="009234E0">
        <w:t>»</w:t>
      </w:r>
      <w:r w:rsidR="0065305F" w:rsidRPr="009234E0">
        <w:t>, - сказал Силуанов.</w:t>
      </w:r>
    </w:p>
    <w:p w:rsidR="0065305F" w:rsidRPr="009234E0" w:rsidRDefault="0065305F" w:rsidP="0065305F">
      <w:r w:rsidRPr="009234E0">
        <w:t>Президент РФ Владимир Путин 4 октября 2022 года подписал законы о принятии в состав страны Донецкой и Луганской народных республик, Запорожской и Херсонской областей. В конце сентября там прошли референдумы по вопросу о вхождении в состав России, за присоединение к РФ проголосовало подавляющее большинство жителей.</w:t>
      </w:r>
    </w:p>
    <w:p w:rsidR="0065305F" w:rsidRPr="009234E0" w:rsidRDefault="0065305F" w:rsidP="0065305F">
      <w:pPr>
        <w:pStyle w:val="2"/>
      </w:pPr>
      <w:bookmarkStart w:id="86" w:name="_Toc147905689"/>
      <w:r w:rsidRPr="009234E0">
        <w:t>ТАСС, 10.10.2023, Минфин РФ может скорректировать план займов на 2024 г. при хорошей конъюнктуре</w:t>
      </w:r>
      <w:bookmarkEnd w:id="86"/>
    </w:p>
    <w:p w:rsidR="0065305F" w:rsidRPr="009234E0" w:rsidRDefault="0065305F" w:rsidP="009234E0">
      <w:pPr>
        <w:pStyle w:val="3"/>
      </w:pPr>
      <w:bookmarkStart w:id="87" w:name="_Toc147905690"/>
      <w:r w:rsidRPr="009234E0">
        <w:t xml:space="preserve">Минфин может скорректировать план внутренних заимствований на 2024 год при благоприятной конъюнктуре. Об этом в интервью Наиле Аскер-заде на телеканале </w:t>
      </w:r>
      <w:r w:rsidR="00E635F7" w:rsidRPr="009234E0">
        <w:t>«</w:t>
      </w:r>
      <w:r w:rsidRPr="009234E0">
        <w:t>Россия-24</w:t>
      </w:r>
      <w:r w:rsidR="00E635F7" w:rsidRPr="009234E0">
        <w:t>»</w:t>
      </w:r>
      <w:r w:rsidRPr="009234E0">
        <w:t xml:space="preserve"> заявил министр финансов России Антон Силуанов.</w:t>
      </w:r>
      <w:bookmarkEnd w:id="87"/>
    </w:p>
    <w:p w:rsidR="0065305F" w:rsidRPr="009234E0" w:rsidRDefault="00E635F7" w:rsidP="0065305F">
      <w:r w:rsidRPr="009234E0">
        <w:t>«</w:t>
      </w:r>
      <w:r w:rsidR="0065305F" w:rsidRPr="009234E0">
        <w:t>В следующем году у нас планы сохраняются по займам, которые были определены на эту трехлетку. То есть в 2023 г., 2024 г., 2025 г. мы их не увеличивали, но не исключаю, что, если будет хорошая конъюнктура, также, как и в этом году, можем принять корректировочные решения по заимствованию следующего года. В целом планы у нас реализуемые по заимствованиям, источниками финансирования бюджет будет обеспечен</w:t>
      </w:r>
      <w:r w:rsidRPr="009234E0">
        <w:t>»</w:t>
      </w:r>
      <w:r w:rsidR="0065305F" w:rsidRPr="009234E0">
        <w:t>, - отметил он.</w:t>
      </w:r>
    </w:p>
    <w:p w:rsidR="0065305F" w:rsidRPr="009234E0" w:rsidRDefault="0065305F" w:rsidP="0065305F">
      <w:r w:rsidRPr="009234E0">
        <w:t xml:space="preserve">Кроме того, глава Минфина уточнил, что внутренние заимствования являются главным источником покрытия дефицита бюджета. </w:t>
      </w:r>
      <w:r w:rsidR="00E635F7" w:rsidRPr="009234E0">
        <w:t>«</w:t>
      </w:r>
      <w:r w:rsidRPr="009234E0">
        <w:t xml:space="preserve">Дефицит бюджета будет покрываться за счет внутренних источников заимствования. Это основной наш ресурс. Да, в этом году мы подкорректировали объем заимствований с внутреннего рынка, мы смогли его уменьшить, потому что видим хорошую конъюнктуру, которая складывается на </w:t>
      </w:r>
      <w:r w:rsidRPr="009234E0">
        <w:lastRenderedPageBreak/>
        <w:t>внешних рынках, дополнительные нефтегазовые доходы к нам поступают</w:t>
      </w:r>
      <w:r w:rsidR="00E635F7" w:rsidRPr="009234E0">
        <w:t>»</w:t>
      </w:r>
      <w:r w:rsidRPr="009234E0">
        <w:t>, - сказал министр.</w:t>
      </w:r>
    </w:p>
    <w:p w:rsidR="0065305F" w:rsidRPr="009234E0" w:rsidRDefault="0065305F" w:rsidP="0065305F">
      <w:r w:rsidRPr="009234E0">
        <w:t>В конце сентября Силуанов говорил, что Минфин сократит программу заимствований в 2023 году примерно на 1 трлн рублей. При этом объем займов на покрытие дефицита бюджета РФ превысит 4 трлн рублей в год, отмечал министр.</w:t>
      </w:r>
    </w:p>
    <w:p w:rsidR="0065305F" w:rsidRPr="009234E0" w:rsidRDefault="0065305F" w:rsidP="0065305F">
      <w:pPr>
        <w:pStyle w:val="2"/>
      </w:pPr>
      <w:bookmarkStart w:id="88" w:name="_Toc147905691"/>
      <w:r w:rsidRPr="009234E0">
        <w:t>РИА Новости, 10.10.2023, Благодаря хорошей конъюнктуре рынков ФНБ удастся пополнить в этом году - Силуанов</w:t>
      </w:r>
      <w:bookmarkEnd w:id="88"/>
    </w:p>
    <w:p w:rsidR="0065305F" w:rsidRPr="009234E0" w:rsidRDefault="0065305F" w:rsidP="009234E0">
      <w:pPr>
        <w:pStyle w:val="3"/>
      </w:pPr>
      <w:bookmarkStart w:id="89" w:name="_Toc147905692"/>
      <w:r w:rsidRPr="009234E0">
        <w:t>Фонд национального благосостояния (ФНБ) в 2023 году будет пополняться, даже несмотря на то, что часть нефтегазовых доходов пойдет на замещение источников внутренних займов, заявил министр финансов РФ Антон Силуанов.</w:t>
      </w:r>
      <w:bookmarkEnd w:id="89"/>
    </w:p>
    <w:p w:rsidR="0065305F" w:rsidRPr="009234E0" w:rsidRDefault="0065305F" w:rsidP="0065305F">
      <w:r w:rsidRPr="009234E0">
        <w:t xml:space="preserve">В интервью Наиле Аскер-заде на канале </w:t>
      </w:r>
      <w:r w:rsidR="00E635F7" w:rsidRPr="009234E0">
        <w:t>«</w:t>
      </w:r>
      <w:r w:rsidRPr="009234E0">
        <w:t>Россия 24</w:t>
      </w:r>
      <w:r w:rsidR="00E635F7" w:rsidRPr="009234E0">
        <w:t>»</w:t>
      </w:r>
      <w:r w:rsidRPr="009234E0">
        <w:t xml:space="preserve"> он рассказал, что изначально бюджет на текущий год предполагал дополнительные нефтегазовые доходы, которые пополнили бы ФНБ в сумме порядка 980 миллиардов рублей.</w:t>
      </w:r>
    </w:p>
    <w:p w:rsidR="0065305F" w:rsidRPr="009234E0" w:rsidRDefault="00E635F7" w:rsidP="0065305F">
      <w:r w:rsidRPr="009234E0">
        <w:t>«</w:t>
      </w:r>
      <w:r w:rsidR="0065305F" w:rsidRPr="009234E0">
        <w:t>Первое полугодие складывалось не так, будем говорить, оптимистично, как нам бы хотелось, и мы больше тратили, тратили средства из ФНБ, не пополняя его. Второе полугодие, с августа ситуация поменялась текущего года, и мы уже перестали использовать средства ФНБ, наоборот, дополнительные нефтегазовые доходы будут направлены и на увеличение ФНБ</w:t>
      </w:r>
      <w:r w:rsidRPr="009234E0">
        <w:t>»</w:t>
      </w:r>
      <w:r w:rsidR="0065305F" w:rsidRPr="009234E0">
        <w:t>, - сказал Силуанов.</w:t>
      </w:r>
    </w:p>
    <w:p w:rsidR="0065305F" w:rsidRPr="009234E0" w:rsidRDefault="0065305F" w:rsidP="0065305F">
      <w:r w:rsidRPr="009234E0">
        <w:t>По его словам, с учетом цен на нефть и курсовых соотношений, в этом году объем плановых назначений пополнения средств ФНБ может превысить плановые.</w:t>
      </w:r>
    </w:p>
    <w:p w:rsidR="0065305F" w:rsidRPr="009234E0" w:rsidRDefault="00E635F7" w:rsidP="0065305F">
      <w:r w:rsidRPr="009234E0">
        <w:t>«</w:t>
      </w:r>
      <w:r w:rsidR="0065305F" w:rsidRPr="009234E0">
        <w:t>Объем составит более триллиона, по нашим оценкам, около 1,2 триллиона. Поэтому в этом году, благодаря хорошей конъюнктуре, ФНБ будет пополняться, это еще несмотря на то, что мы частью нефтегазовых доходов будем замещать источники заимствования</w:t>
      </w:r>
      <w:r w:rsidRPr="009234E0">
        <w:t>»</w:t>
      </w:r>
      <w:r w:rsidR="0065305F" w:rsidRPr="009234E0">
        <w:t>, - заключил глава Минфина.</w:t>
      </w:r>
    </w:p>
    <w:p w:rsidR="0065305F" w:rsidRPr="009234E0" w:rsidRDefault="0065305F" w:rsidP="0065305F">
      <w:r w:rsidRPr="009234E0">
        <w:t>Ранее Силуанов говорил, что Минфин решил снизить программу внутренних заимствований на 2023 год на 1 триллион рублей. По его словам, программа заимствований РФ не исполняется из-за высоких ставок, целесообразно финансировать расходы за счет допдоходов, а не займов.</w:t>
      </w:r>
    </w:p>
    <w:p w:rsidR="0065305F" w:rsidRPr="009234E0" w:rsidRDefault="0065305F" w:rsidP="0065305F">
      <w:pPr>
        <w:pStyle w:val="2"/>
      </w:pPr>
      <w:bookmarkStart w:id="90" w:name="_Toc147905693"/>
      <w:r w:rsidRPr="009234E0">
        <w:t>РИА Новости, 10.10.2023, Экономия на финансировании военных расходов для достижения целей СВО невозможна - Силуанов</w:t>
      </w:r>
      <w:bookmarkEnd w:id="90"/>
    </w:p>
    <w:p w:rsidR="0065305F" w:rsidRPr="009234E0" w:rsidRDefault="0065305F" w:rsidP="009234E0">
      <w:pPr>
        <w:pStyle w:val="3"/>
      </w:pPr>
      <w:bookmarkStart w:id="91" w:name="_Toc147905694"/>
      <w:r w:rsidRPr="009234E0">
        <w:t>Экономия на финансировании военных расходов для достижения целей специальной военной операции невозможна, они обеспечены ресурсами в следующем году, заявил министр финансов РФ Антон Силуанов.</w:t>
      </w:r>
      <w:bookmarkEnd w:id="91"/>
    </w:p>
    <w:p w:rsidR="0065305F" w:rsidRPr="009234E0" w:rsidRDefault="00E635F7" w:rsidP="0065305F">
      <w:r w:rsidRPr="009234E0">
        <w:t>«</w:t>
      </w:r>
      <w:r w:rsidR="0065305F" w:rsidRPr="009234E0">
        <w:t>Военные расходы возрастут, они составят более 10 триллионов рублей, если в целом по номинальному объему. Это требование, которое необходимо нам для достижения целей СВО. И здесь какая-то, знаете, экономия просто невозможна, поэтому военные задачи обеспечены ресурсами</w:t>
      </w:r>
      <w:r w:rsidRPr="009234E0">
        <w:t>»</w:t>
      </w:r>
      <w:r w:rsidR="0065305F" w:rsidRPr="009234E0">
        <w:t xml:space="preserve">, - сказал министр в интервью Наиле Аскер-заде на телеканале </w:t>
      </w:r>
      <w:r w:rsidRPr="009234E0">
        <w:t>«</w:t>
      </w:r>
      <w:r w:rsidR="0065305F" w:rsidRPr="009234E0">
        <w:t>Россия 24</w:t>
      </w:r>
      <w:r w:rsidRPr="009234E0">
        <w:t>»</w:t>
      </w:r>
      <w:r w:rsidR="0065305F" w:rsidRPr="009234E0">
        <w:t>.</w:t>
      </w:r>
    </w:p>
    <w:p w:rsidR="0065305F" w:rsidRPr="009234E0" w:rsidRDefault="0065305F" w:rsidP="0065305F">
      <w:pPr>
        <w:pStyle w:val="2"/>
      </w:pPr>
      <w:bookmarkStart w:id="92" w:name="_Toc147905695"/>
      <w:r w:rsidRPr="009234E0">
        <w:lastRenderedPageBreak/>
        <w:t>РИА Новости, 10.10.2023, Минфин РФ предлагает точечные дополнения в план приватизации на 2024 г - Силуанов</w:t>
      </w:r>
      <w:bookmarkEnd w:id="92"/>
    </w:p>
    <w:p w:rsidR="0065305F" w:rsidRPr="009234E0" w:rsidRDefault="0065305F" w:rsidP="009234E0">
      <w:pPr>
        <w:pStyle w:val="3"/>
      </w:pPr>
      <w:bookmarkStart w:id="93" w:name="_Toc147905696"/>
      <w:r w:rsidRPr="009234E0">
        <w:t>Минфин РФ предлагает в 2024 году дополнительно рассмотреть приватизацию отдельных активов без потери контроля со стороны государства, заявил министр финансов Антон Силуанов.</w:t>
      </w:r>
      <w:bookmarkEnd w:id="93"/>
    </w:p>
    <w:p w:rsidR="0065305F" w:rsidRPr="009234E0" w:rsidRDefault="00E635F7" w:rsidP="0065305F">
      <w:r w:rsidRPr="009234E0">
        <w:t>«</w:t>
      </w:r>
      <w:r w:rsidR="0065305F" w:rsidRPr="009234E0">
        <w:t>Могу сказать, что у нас есть еще один ресурс, конечно - это приватизация, и можно было бы посмотреть дополнительно в следующем году по реализации отдельных активов государства, привлечь больше частного бизнеса в государственные предприятия, без потери контроля со стороны государства</w:t>
      </w:r>
      <w:r w:rsidRPr="009234E0">
        <w:t>»</w:t>
      </w:r>
      <w:r w:rsidR="0065305F" w:rsidRPr="009234E0">
        <w:t xml:space="preserve">, - сказал министр в интервью Наиле Аскер-заде на телеканале </w:t>
      </w:r>
      <w:r w:rsidRPr="009234E0">
        <w:t>«</w:t>
      </w:r>
      <w:r w:rsidR="0065305F" w:rsidRPr="009234E0">
        <w:t>Россия 1</w:t>
      </w:r>
      <w:r w:rsidRPr="009234E0">
        <w:t>»</w:t>
      </w:r>
      <w:r w:rsidR="0065305F" w:rsidRPr="009234E0">
        <w:t>.</w:t>
      </w:r>
    </w:p>
    <w:p w:rsidR="0065305F" w:rsidRPr="009234E0" w:rsidRDefault="00E635F7" w:rsidP="0065305F">
      <w:r w:rsidRPr="009234E0">
        <w:t>«</w:t>
      </w:r>
      <w:r w:rsidR="0065305F" w:rsidRPr="009234E0">
        <w:t>Но это вопрос такой более точечный, я сейчас даже не хотел бы останавливаться на конкретно каких-то примерах... Этот вопрос должен обсуждаться в правительстве. Это тоже хороший источник финансирования бюджетных трат, которые в следующем году будут максимальные во всей истории, они будут более 36,5 триллиона рублей - это меры, необходимые для тех приоритетов, о которых мы сегодня с вами говорили</w:t>
      </w:r>
      <w:r w:rsidRPr="009234E0">
        <w:t>»</w:t>
      </w:r>
      <w:r w:rsidR="0065305F" w:rsidRPr="009234E0">
        <w:t>, - добавил он.</w:t>
      </w:r>
    </w:p>
    <w:p w:rsidR="0065305F" w:rsidRPr="009234E0" w:rsidRDefault="0065305F" w:rsidP="0065305F">
      <w:r w:rsidRPr="009234E0">
        <w:t>По словам Силуанова, приватизация - это один из возможных источников финансирования дефицита бюджета в 2024-2026 годах, однако основным ресурсом являются внутренние заимствования.</w:t>
      </w:r>
    </w:p>
    <w:p w:rsidR="0065305F" w:rsidRPr="009234E0" w:rsidRDefault="0065305F" w:rsidP="0065305F">
      <w:r w:rsidRPr="009234E0">
        <w:t>На прошлой неделе он говорил, что у Минфина РФ есть список компаний, которые можно было бы дополнительно включить в план приватизации на 2024-2026 годы, но эта инициатива еще должна пройти обсуждение.</w:t>
      </w:r>
    </w:p>
    <w:p w:rsidR="00D94D15" w:rsidRPr="009234E0" w:rsidRDefault="0065305F" w:rsidP="0065305F">
      <w:r w:rsidRPr="009234E0">
        <w:t>Согласно материалам к проекту бюджета на следующую трехлетку, бюджет РФ в 2024 году может получить от приватизации 1,228 миллиарда рублей, а в 2025 и 2026 годах - по 1,226 миллиарда рублей ежегодно.</w:t>
      </w:r>
    </w:p>
    <w:p w:rsidR="0010672E" w:rsidRPr="009234E0" w:rsidRDefault="0010672E" w:rsidP="0010672E">
      <w:pPr>
        <w:pStyle w:val="2"/>
      </w:pPr>
      <w:bookmarkStart w:id="94" w:name="_Toc147905697"/>
      <w:r w:rsidRPr="009234E0">
        <w:t>ТАСС, 10.10.2023, В ПСБ сообщили, что только 17% россиян за последний год имели опыт инвестирования</w:t>
      </w:r>
      <w:bookmarkEnd w:id="94"/>
    </w:p>
    <w:p w:rsidR="0010672E" w:rsidRPr="009234E0" w:rsidRDefault="0010672E" w:rsidP="009234E0">
      <w:pPr>
        <w:pStyle w:val="3"/>
      </w:pPr>
      <w:bookmarkStart w:id="95" w:name="_Toc147905698"/>
      <w:r w:rsidRPr="009234E0">
        <w:t>Только 17% россиян за последние 12 месяцев имели опыт инвестирования, самым известным инструментом опрошенные назвали акции. Такие результаты были получены в ходе исследования Индекса сберегательно-инвестиционной активности россиян (ИСИАР), проводимого ПСБ совместно с НИФИ Минфина России и Аналитическим центром НАФИ.</w:t>
      </w:r>
      <w:bookmarkEnd w:id="95"/>
    </w:p>
    <w:p w:rsidR="0010672E" w:rsidRPr="009234E0" w:rsidRDefault="0010672E" w:rsidP="0010672E">
      <w:r w:rsidRPr="009234E0">
        <w:t>Согласно данным исследования, за последний год 30% россиян, из тех, что инвестировали, покупали акции, 27% вкладывали деньги в иностранную валюту, 19% в золото и драгметаллы, 17% делали вложения в недвижимость с целью получения от нее прибыли, по 6% от общего числа инвестировавших покупали государственные облигации, а также антиквариат и предметы искусства. Респонденты делали вложения в паевые, биржевые и негосударственные пенсионные фонды, таких было 5%.</w:t>
      </w:r>
    </w:p>
    <w:p w:rsidR="0010672E" w:rsidRPr="009234E0" w:rsidRDefault="0010672E" w:rsidP="0010672E">
      <w:r w:rsidRPr="009234E0">
        <w:t xml:space="preserve">Отмечается, что среди самых популярных причин, которые побудили граждан к инвестициям, стало желание получить дополнительный доход - таких было 30% от общего числа инвестировавших. Наличие свободных денег отметили 17% респондентов, 8% заявили о том, что им было интересно попробовать себя в </w:t>
      </w:r>
      <w:r w:rsidRPr="009234E0">
        <w:lastRenderedPageBreak/>
        <w:t>инвестициях и 5% откликнулись на рекламу или предложение финансовой организации.</w:t>
      </w:r>
    </w:p>
    <w:p w:rsidR="0010672E" w:rsidRPr="009234E0" w:rsidRDefault="0010672E" w:rsidP="0010672E">
      <w:r w:rsidRPr="009234E0">
        <w:t>Инструменты инвестирования</w:t>
      </w:r>
    </w:p>
    <w:p w:rsidR="0010672E" w:rsidRPr="009234E0" w:rsidRDefault="00E635F7" w:rsidP="0010672E">
      <w:r w:rsidRPr="009234E0">
        <w:t>«</w:t>
      </w:r>
      <w:r w:rsidR="0010672E" w:rsidRPr="009234E0">
        <w:t>Самый известный для россиян инструмент инвестирования - это акции. О них знают 66% жителей России. Также более половины россиян осведомлены о возможности получения прибыли от приобретения недвижимости с инвестиционной целью, таких 62%, о покупке золота и драгоценных металлов знают 56% респондентов, а 53% осведомлены о возможности покупке иностранной валюты с целью продажи при выгодном курсе</w:t>
      </w:r>
      <w:r w:rsidRPr="009234E0">
        <w:t>»</w:t>
      </w:r>
      <w:r w:rsidR="0010672E" w:rsidRPr="009234E0">
        <w:t>, - указано в документе.</w:t>
      </w:r>
    </w:p>
    <w:p w:rsidR="0010672E" w:rsidRPr="009234E0" w:rsidRDefault="0010672E" w:rsidP="0010672E">
      <w:r w:rsidRPr="009234E0">
        <w:t>Наименьший уровень осведомленности жители нашей страны демонстрируют в отношении корпоративных облигаций, только 27% отметили этот способ инвестирования, и передачи капитала в доверительное управление, исследование показало, что таких 21% от общего числа опрошенных. Каждый десятый россиянин говорит, что не знает ни одного вида инвестиций.</w:t>
      </w:r>
    </w:p>
    <w:p w:rsidR="0010672E" w:rsidRPr="009234E0" w:rsidRDefault="00E635F7" w:rsidP="0010672E">
      <w:r w:rsidRPr="009234E0">
        <w:t>«</w:t>
      </w:r>
      <w:r w:rsidR="0010672E" w:rsidRPr="009234E0">
        <w:t>Мы видим большой разрыв между числом осведомленных об инвестициях и теми, кто ими пользуется. Для того, чтобы сократить этот разрыв и перевести знатоков в статус новых инвесторов, необходимы обучающие и стимулирующие инвестиционную активность россиян меры. Например, потребуются программы просвещения, адаптированные под разные целевые группы, запуск просветительских и информационных кампаний. Необходимо стимулировать россиян к переходу от сбережений к инвестициям как материальными, так и нематериальными способами. Отдельную роль в этом могут сыграть государственные программы поддержки</w:t>
      </w:r>
      <w:r w:rsidRPr="009234E0">
        <w:t>»</w:t>
      </w:r>
      <w:r w:rsidR="0010672E" w:rsidRPr="009234E0">
        <w:t>, - прокомментировала результаты исследования Вера Подгузова, старший вице-президент, директор по внешним связям ПСБ.</w:t>
      </w:r>
    </w:p>
    <w:p w:rsidR="0065305F" w:rsidRPr="009234E0" w:rsidRDefault="0010672E" w:rsidP="0010672E">
      <w:r w:rsidRPr="009234E0">
        <w:t>ПСБ, начиная с текущего года, проводит на регулярной основе замеры Индекса сберегательной и инвестиционной активности россиян. Целью Индекса является определение уровня вовлеченности населения в сферу сбережений и инвестиций, а также степень их готовности инвестировать в будущем. В исследовании приняли участие 1 600 респондентов в возрасте от 18 лет.</w:t>
      </w:r>
    </w:p>
    <w:p w:rsidR="0010672E" w:rsidRPr="009234E0" w:rsidRDefault="0010672E" w:rsidP="0010672E"/>
    <w:p w:rsidR="00D1642B" w:rsidRPr="009234E0" w:rsidRDefault="00D1642B" w:rsidP="00D1642B">
      <w:pPr>
        <w:pStyle w:val="251"/>
      </w:pPr>
      <w:bookmarkStart w:id="96" w:name="_Toc99271712"/>
      <w:bookmarkStart w:id="97" w:name="_Toc99318658"/>
      <w:bookmarkStart w:id="98" w:name="_Toc147905699"/>
      <w:bookmarkEnd w:id="68"/>
      <w:bookmarkEnd w:id="69"/>
      <w:r w:rsidRPr="009234E0">
        <w:lastRenderedPageBreak/>
        <w:t>НОВОСТИ ЗАРУБЕЖНЫХ ПЕНСИОННЫХ СИСТЕМ</w:t>
      </w:r>
      <w:bookmarkEnd w:id="96"/>
      <w:bookmarkEnd w:id="97"/>
      <w:bookmarkEnd w:id="98"/>
    </w:p>
    <w:p w:rsidR="00D1642B" w:rsidRPr="009234E0" w:rsidRDefault="00D1642B" w:rsidP="00D1642B">
      <w:pPr>
        <w:pStyle w:val="10"/>
      </w:pPr>
      <w:bookmarkStart w:id="99" w:name="_Toc99271713"/>
      <w:bookmarkStart w:id="100" w:name="_Toc99318659"/>
      <w:bookmarkStart w:id="101" w:name="_Toc147905700"/>
      <w:r w:rsidRPr="009234E0">
        <w:t>Новости пенсионной отрасли стран ближнего зарубежья</w:t>
      </w:r>
      <w:bookmarkEnd w:id="99"/>
      <w:bookmarkEnd w:id="100"/>
      <w:bookmarkEnd w:id="101"/>
    </w:p>
    <w:p w:rsidR="00F91954" w:rsidRPr="009234E0" w:rsidRDefault="00F91954" w:rsidP="00F91954">
      <w:pPr>
        <w:pStyle w:val="2"/>
      </w:pPr>
      <w:bookmarkStart w:id="102" w:name="_Toc147905701"/>
      <w:r w:rsidRPr="009234E0">
        <w:t>Белорусы и рынок, 10.10.2023, На какую пенсию могут рассчитывать многодетные матери</w:t>
      </w:r>
      <w:bookmarkEnd w:id="102"/>
    </w:p>
    <w:p w:rsidR="00F91954" w:rsidRPr="009234E0" w:rsidRDefault="00F91954" w:rsidP="009234E0">
      <w:pPr>
        <w:pStyle w:val="3"/>
      </w:pPr>
      <w:bookmarkStart w:id="103" w:name="_Toc147905702"/>
      <w:r w:rsidRPr="009234E0">
        <w:t>О тонкостях пенсионных гарантий многодетным матерям рассказал телеграм-канал Министерства труда и социальной защиты.</w:t>
      </w:r>
      <w:bookmarkEnd w:id="103"/>
    </w:p>
    <w:p w:rsidR="00F91954" w:rsidRPr="009234E0" w:rsidRDefault="00F91954" w:rsidP="00F91954">
      <w:r w:rsidRPr="009234E0">
        <w:t>Как сообщается в нем, многодетным матерям, родившим пять и более детей и воспитавшим их до 8-летнего возраста, предоставлено право на трудовую пенсию по возрасту со снижением общеустановленного пенсионного возраста на 5 лет.</w:t>
      </w:r>
    </w:p>
    <w:p w:rsidR="00F91954" w:rsidRPr="009234E0" w:rsidRDefault="00F91954" w:rsidP="00F91954">
      <w:r w:rsidRPr="009234E0">
        <w:rPr>
          <w:rFonts w:ascii="Cambria Math" w:hAnsi="Cambria Math" w:cs="Cambria Math"/>
        </w:rPr>
        <w:t>⬆</w:t>
      </w:r>
      <w:r w:rsidRPr="009234E0">
        <w:t>При этом установлены пониженные требования к стажу работы. Требуется:</w:t>
      </w:r>
    </w:p>
    <w:p w:rsidR="00F91954" w:rsidRPr="009234E0" w:rsidRDefault="00F91954" w:rsidP="00F91954">
      <w:r w:rsidRPr="009234E0">
        <w:rPr>
          <w:rFonts w:ascii="MS Mincho" w:eastAsia="MS Mincho" w:hAnsi="MS Mincho" w:cs="MS Mincho" w:hint="eastAsia"/>
        </w:rPr>
        <w:t>✔</w:t>
      </w:r>
      <w:r w:rsidRPr="009234E0">
        <w:t>5 лет работы с уплатой обязательных страховых взносов (страховой стаж)</w:t>
      </w:r>
    </w:p>
    <w:p w:rsidR="00F91954" w:rsidRPr="009234E0" w:rsidRDefault="00F91954" w:rsidP="00F91954">
      <w:r w:rsidRPr="009234E0">
        <w:rPr>
          <w:rFonts w:ascii="MS Mincho" w:eastAsia="MS Mincho" w:hAnsi="MS Mincho" w:cs="MS Mincho" w:hint="eastAsia"/>
        </w:rPr>
        <w:t>✔</w:t>
      </w:r>
      <w:r w:rsidRPr="009234E0">
        <w:t xml:space="preserve"> 15 лет общего стажа (с учетом страхового).</w:t>
      </w:r>
    </w:p>
    <w:p w:rsidR="00F91954" w:rsidRPr="009234E0" w:rsidRDefault="00F91954" w:rsidP="00F91954">
      <w:r w:rsidRPr="009234E0">
        <w:t>Независимо от возраста пенсия по возрасту назначается многодетным матерям, родившим пять и более детей и воспитавшим их до 16-летнего возраста, при стаже работы в предприятиях сельского хозяйства непосредственного в производстве сельскохозяйственной продукции не менее 10 лет (без зачета в стаж времени ухода за детьми).</w:t>
      </w:r>
    </w:p>
    <w:p w:rsidR="00F91954" w:rsidRPr="009234E0" w:rsidRDefault="00F91954" w:rsidP="00F91954">
      <w:r w:rsidRPr="009234E0">
        <w:t>▪Многодетным матерям, родившим четверых детей и воспитавшим их до 8-летнего возраста, трудовая пенсия по возрасту назначается по достижении общеустановленного пенсионного возраста при пониженном страховом стаже:</w:t>
      </w:r>
    </w:p>
    <w:p w:rsidR="00F91954" w:rsidRPr="009234E0" w:rsidRDefault="00F91954" w:rsidP="00F91954">
      <w:r w:rsidRPr="009234E0">
        <w:rPr>
          <w:rFonts w:ascii="MS Mincho" w:eastAsia="MS Mincho" w:hAnsi="MS Mincho" w:cs="MS Mincho" w:hint="eastAsia"/>
        </w:rPr>
        <w:t>✔</w:t>
      </w:r>
      <w:r w:rsidRPr="009234E0">
        <w:t>10 лет и наличии 20 лет общего стажа (с учетом страхового).</w:t>
      </w:r>
    </w:p>
    <w:p w:rsidR="00F91954" w:rsidRPr="009234E0" w:rsidRDefault="00F91954" w:rsidP="00F91954">
      <w:r w:rsidRPr="009234E0">
        <w:t>Важно</w:t>
      </w:r>
    </w:p>
    <w:p w:rsidR="00F91954" w:rsidRPr="009234E0" w:rsidRDefault="00F91954" w:rsidP="00F91954">
      <w:r w:rsidRPr="009234E0">
        <w:t>В общий стаж наряду с периодами работы засчитываются также периоды ухода за детьми в возрасте до 3 лет общей продолжительностью не более 12 лет.</w:t>
      </w:r>
    </w:p>
    <w:p w:rsidR="00F91954" w:rsidRPr="009234E0" w:rsidRDefault="00F91954" w:rsidP="00F91954">
      <w:r w:rsidRPr="009234E0">
        <w:t>Кстати</w:t>
      </w:r>
    </w:p>
    <w:p w:rsidR="00F91954" w:rsidRPr="009234E0" w:rsidRDefault="00F91954" w:rsidP="00F91954">
      <w:r w:rsidRPr="009234E0">
        <w:rPr>
          <w:rFonts w:ascii="MS Mincho" w:eastAsia="MS Mincho" w:hAnsi="MS Mincho" w:cs="MS Mincho" w:hint="eastAsia"/>
        </w:rPr>
        <w:t>✔</w:t>
      </w:r>
      <w:r w:rsidRPr="009234E0">
        <w:t xml:space="preserve"> Для назначения пенсии по возрасту на общих основаниях в 2023 году требуется не менее 19 лет страхового стажа. Страховой стаж ежегодно увеличивается на 6 месяцев до 20 лет к 2025 году.</w:t>
      </w:r>
    </w:p>
    <w:p w:rsidR="00F91954" w:rsidRPr="009234E0" w:rsidRDefault="00F91954" w:rsidP="00F91954">
      <w:r w:rsidRPr="009234E0">
        <w:rPr>
          <w:rFonts w:ascii="MS Mincho" w:eastAsia="MS Mincho" w:hAnsi="MS Mincho" w:cs="MS Mincho" w:hint="eastAsia"/>
        </w:rPr>
        <w:t>✔</w:t>
      </w:r>
      <w:r w:rsidRPr="009234E0">
        <w:t>Общеустановленный возраст выхода на пенсию для женщин - 58 лет.</w:t>
      </w:r>
    </w:p>
    <w:p w:rsidR="00F91954" w:rsidRPr="009234E0" w:rsidRDefault="006E678B" w:rsidP="00F91954">
      <w:hyperlink r:id="rId28" w:history="1">
        <w:r w:rsidR="00F91954" w:rsidRPr="009234E0">
          <w:rPr>
            <w:rStyle w:val="a3"/>
          </w:rPr>
          <w:t>https://belmarket.by/news/news-54287.html</w:t>
        </w:r>
      </w:hyperlink>
      <w:r w:rsidR="00F91954" w:rsidRPr="009234E0">
        <w:t xml:space="preserve"> </w:t>
      </w:r>
    </w:p>
    <w:p w:rsidR="00F91954" w:rsidRPr="009234E0" w:rsidRDefault="00F91954" w:rsidP="00F91954">
      <w:pPr>
        <w:pStyle w:val="2"/>
      </w:pPr>
      <w:bookmarkStart w:id="104" w:name="_Toc147905703"/>
      <w:r w:rsidRPr="009234E0">
        <w:lastRenderedPageBreak/>
        <w:t>Казахстанская правда, 10.10.2023, О снижении пенсионного возраста шахтерам высказалась Жакупова</w:t>
      </w:r>
      <w:bookmarkEnd w:id="104"/>
    </w:p>
    <w:p w:rsidR="00F91954" w:rsidRPr="009234E0" w:rsidRDefault="00F91954" w:rsidP="009234E0">
      <w:pPr>
        <w:pStyle w:val="3"/>
      </w:pPr>
      <w:bookmarkStart w:id="105" w:name="_Toc147905704"/>
      <w:r w:rsidRPr="009234E0">
        <w:t>Министр труда и социальной защиты населения РК Светлана Жакупова ответила на вопросы журналистов касательно работы по снижению пенсионного возраста для шахтеров, передает корреспондент Kazpravda.kz.</w:t>
      </w:r>
      <w:bookmarkEnd w:id="105"/>
    </w:p>
    <w:p w:rsidR="00F91954" w:rsidRPr="009234E0" w:rsidRDefault="00E635F7" w:rsidP="00F91954">
      <w:r w:rsidRPr="009234E0">
        <w:t>«</w:t>
      </w:r>
      <w:r w:rsidR="00F91954" w:rsidRPr="009234E0">
        <w:t>До конца года мы должны внести законопроект. На сегодня агентство финрегулирования совместно с компаниями по страхованию жизни проводят расчеты. С нашей стороны мы уже определили два условия, по которым шахтеры могут зайти в систему – это достижение возраста 55 лет и наличие обязательных профессиональных пенсионных взносов в течение 7 лет в ЕНПФ</w:t>
      </w:r>
      <w:r w:rsidRPr="009234E0">
        <w:t>»</w:t>
      </w:r>
      <w:r w:rsidR="00F91954" w:rsidRPr="009234E0">
        <w:t>, – сообщила министр.</w:t>
      </w:r>
    </w:p>
    <w:p w:rsidR="00F91954" w:rsidRPr="009234E0" w:rsidRDefault="00F91954" w:rsidP="00F91954">
      <w:r w:rsidRPr="009234E0">
        <w:t>По ее словам, вопрос должен решиться до конца года. Жакупова добавила, что выплаты будут производиться из трех источников.</w:t>
      </w:r>
    </w:p>
    <w:p w:rsidR="00F91954" w:rsidRPr="009234E0" w:rsidRDefault="00E635F7" w:rsidP="00F91954">
      <w:r w:rsidRPr="009234E0">
        <w:t>«</w:t>
      </w:r>
      <w:r w:rsidR="00F91954" w:rsidRPr="009234E0">
        <w:t>Я делаю ссылку на то, что в начале своего ответа, я сказала, что две организации: государственная и компания по страхованию жизни ведут расчеты, чтобы определить размеры выплат. Третий источник – это республиканский бюджет. Это компания по страхованию жизни плюс работодатель</w:t>
      </w:r>
      <w:r w:rsidRPr="009234E0">
        <w:t>»</w:t>
      </w:r>
      <w:r w:rsidR="00F91954" w:rsidRPr="009234E0">
        <w:t>, – продолжила глава Минтруда.</w:t>
      </w:r>
    </w:p>
    <w:p w:rsidR="00F91954" w:rsidRPr="009234E0" w:rsidRDefault="00F91954" w:rsidP="00F91954">
      <w:r w:rsidRPr="009234E0">
        <w:t>Жакупова отметила, что министерство труда и социальной защиты населения оформило бюджетную заявку.</w:t>
      </w:r>
    </w:p>
    <w:p w:rsidR="00F91954" w:rsidRPr="009234E0" w:rsidRDefault="00E635F7" w:rsidP="00F91954">
      <w:r w:rsidRPr="009234E0">
        <w:t>«</w:t>
      </w:r>
      <w:r w:rsidR="00F91954" w:rsidRPr="009234E0">
        <w:t>Бюджетная заявка идет в размере одного прожиточного минимума. 45 млрд тенге на 3 года, то есть по 15 млрд в год. Все будет зависеть от того, какие пенсионные накопления есть у шахтера. Поэтому требуется 7 лет перечисления. Пенсионные взносы должны быть за 84 месяца. Что касается количества претендующих на данную выплату, их порядка 46 тысяч человек. Но при этом мы говорим о том, что они должны соответствовать двум критериям – 55 лет и наличие обязательных профессиональных пенсионных взносов в течение семи лет</w:t>
      </w:r>
      <w:r w:rsidRPr="009234E0">
        <w:t>»</w:t>
      </w:r>
      <w:r w:rsidR="00F91954" w:rsidRPr="009234E0">
        <w:t>, – добавила спикер.</w:t>
      </w:r>
    </w:p>
    <w:p w:rsidR="00F91954" w:rsidRPr="009234E0" w:rsidRDefault="00F91954" w:rsidP="00F91954">
      <w:r w:rsidRPr="009234E0">
        <w:t xml:space="preserve">Отметим, ранее сообщалось о том, что специальную социальную выплату будут получать казахстанцы, работающие во вредных условиях. </w:t>
      </w:r>
    </w:p>
    <w:p w:rsidR="00F91954" w:rsidRPr="009234E0" w:rsidRDefault="006E678B" w:rsidP="00F91954">
      <w:hyperlink r:id="rId29" w:history="1">
        <w:r w:rsidR="00F91954" w:rsidRPr="009234E0">
          <w:rPr>
            <w:rStyle w:val="a3"/>
          </w:rPr>
          <w:t>https://kazpravda.kz/n/o-snizhenii-pensionnogo-vozrasta-shahteram-vyskazalas-zhakupova</w:t>
        </w:r>
      </w:hyperlink>
      <w:r w:rsidR="00F91954" w:rsidRPr="009234E0">
        <w:t xml:space="preserve"> </w:t>
      </w:r>
    </w:p>
    <w:p w:rsidR="005B2053" w:rsidRPr="009234E0" w:rsidRDefault="005B2053" w:rsidP="005B2053">
      <w:pPr>
        <w:pStyle w:val="2"/>
      </w:pPr>
      <w:bookmarkStart w:id="106" w:name="_Toc147905705"/>
      <w:r w:rsidRPr="009234E0">
        <w:t>Total.kz, 10.10.2023, Пенсионные активы казахстанцев выросли на 17,7% в 2023 году</w:t>
      </w:r>
      <w:bookmarkEnd w:id="106"/>
    </w:p>
    <w:p w:rsidR="005B2053" w:rsidRPr="009234E0" w:rsidRDefault="005B2053" w:rsidP="009234E0">
      <w:pPr>
        <w:pStyle w:val="3"/>
      </w:pPr>
      <w:bookmarkStart w:id="107" w:name="_Toc147905706"/>
      <w:r w:rsidRPr="009234E0">
        <w:t>Заместитель председателя Национального банка страны Берик Шолпанкулов доложил о состоянии пенсионных активов казахстанцев, передает корреспондент Total.kz.</w:t>
      </w:r>
      <w:bookmarkEnd w:id="107"/>
    </w:p>
    <w:p w:rsidR="005B2053" w:rsidRPr="009234E0" w:rsidRDefault="00E635F7" w:rsidP="005B2053">
      <w:r w:rsidRPr="009234E0">
        <w:t>«</w:t>
      </w:r>
      <w:r w:rsidR="005B2053" w:rsidRPr="009234E0">
        <w:t>Положительную динамику демонстрируют пенсионные активы ЕНПФ. С начала года они выросли на 17,7%, до 17,2 триллиона тенге. Объем инвестдохода с начала года составил 1,4 триллиона тенге</w:t>
      </w:r>
      <w:r w:rsidRPr="009234E0">
        <w:t>»</w:t>
      </w:r>
      <w:r w:rsidR="005B2053" w:rsidRPr="009234E0">
        <w:t>, — сказал Шолпанкулов на заседании правительства.</w:t>
      </w:r>
    </w:p>
    <w:p w:rsidR="005B2053" w:rsidRPr="009234E0" w:rsidRDefault="005B2053" w:rsidP="005B2053">
      <w:r w:rsidRPr="009234E0">
        <w:t>По его словам, пенсионные взносы составили 1,5 триллиона тенге, а досрочные изъятия – 196,1 миллиарда тенге.</w:t>
      </w:r>
    </w:p>
    <w:p w:rsidR="005B2053" w:rsidRPr="009234E0" w:rsidRDefault="00E635F7" w:rsidP="005B2053">
      <w:r w:rsidRPr="009234E0">
        <w:lastRenderedPageBreak/>
        <w:t>«</w:t>
      </w:r>
      <w:r w:rsidR="005B2053" w:rsidRPr="009234E0">
        <w:t>В целом инфляционная ситуация на внешнем и внутреннем рынках относительно стабильна. Нацбанк продолжает принимать необходимые меры для обеспечения макроэкономической стабильности и снижения инфляции</w:t>
      </w:r>
      <w:r w:rsidRPr="009234E0">
        <w:t>»</w:t>
      </w:r>
      <w:r w:rsidR="005B2053" w:rsidRPr="009234E0">
        <w:t>, — заверил представитель Нацбанка.</w:t>
      </w:r>
    </w:p>
    <w:p w:rsidR="00D1642B" w:rsidRPr="009234E0" w:rsidRDefault="006E678B" w:rsidP="005B2053">
      <w:hyperlink r:id="rId30" w:history="1">
        <w:r w:rsidR="005B2053" w:rsidRPr="009234E0">
          <w:rPr>
            <w:rStyle w:val="a3"/>
          </w:rPr>
          <w:t>https://total.kz/ru/news/finansi/pensionnie_aktivi_kazahstantsev_virosli_na_177_v_2023_godu_date_2023_10_10_17_06_26</w:t>
        </w:r>
      </w:hyperlink>
    </w:p>
    <w:p w:rsidR="00F91954" w:rsidRPr="009234E0" w:rsidRDefault="00F91954" w:rsidP="00F91954">
      <w:pPr>
        <w:pStyle w:val="2"/>
      </w:pPr>
      <w:bookmarkStart w:id="108" w:name="_Toc147905707"/>
      <w:r w:rsidRPr="009234E0">
        <w:t>Акчабар, 10.10.2023, Соцфонд против использования средств НПФ на покупку жилья у застройщиков</w:t>
      </w:r>
      <w:bookmarkEnd w:id="108"/>
    </w:p>
    <w:p w:rsidR="00F91954" w:rsidRPr="009234E0" w:rsidRDefault="00F91954" w:rsidP="009234E0">
      <w:pPr>
        <w:pStyle w:val="3"/>
      </w:pPr>
      <w:bookmarkStart w:id="109" w:name="_Toc147905708"/>
      <w:r w:rsidRPr="009234E0">
        <w:t>Средства накопительной части Пенсионного фонда  предлагается использовать на покупку жилья у любого субъекта строительства. Соответствующий законопроект одобрен комитетом по бюджету, экономической и фискальной политике Жогорку Кенеша в первом чтении.</w:t>
      </w:r>
      <w:bookmarkEnd w:id="109"/>
    </w:p>
    <w:p w:rsidR="00F91954" w:rsidRPr="009234E0" w:rsidRDefault="00F91954" w:rsidP="00F91954">
      <w:r w:rsidRPr="009234E0">
        <w:t>Отметим, в настоящее время граждане могут использовать накопленные в Пенсионном фонде средства для первоначального взноса при покупке жилья через ГИК и банки.</w:t>
      </w:r>
    </w:p>
    <w:p w:rsidR="00F91954" w:rsidRPr="009234E0" w:rsidRDefault="00F91954" w:rsidP="00F91954">
      <w:r w:rsidRPr="009234E0">
        <w:t>По словам заместителя председателя Социального фонда Гульнуры Джуматаевой, граждане активно пользуются этим своим правом. Так, 3 тысячи 700 человек использовали средства из НПФ для покупки жилья через банки, еще 345 человек — для приобретение жилья через ГИК.</w:t>
      </w:r>
    </w:p>
    <w:p w:rsidR="00F91954" w:rsidRPr="009234E0" w:rsidRDefault="00F91954" w:rsidP="00F91954">
      <w:r w:rsidRPr="009234E0">
        <w:t>Зампредседателя Соцфонда также пояснила депутатам, почему кабмин против данного законопроекта.</w:t>
      </w:r>
    </w:p>
    <w:p w:rsidR="00F91954" w:rsidRPr="009234E0" w:rsidRDefault="00E635F7" w:rsidP="00F91954">
      <w:r w:rsidRPr="009234E0">
        <w:t>«</w:t>
      </w:r>
      <w:r w:rsidR="00F91954" w:rsidRPr="009234E0">
        <w:t>Согласно законопроекту, Соцфонд будет напрямую перечислять средства стройкомпаниям. В стране есть около 200 стройкомпаний. Не все добросовестные. Есть те, кто не платит налоги, обманывают дольщиков. Очень много дел на стройкомпании рассматривается в судах. Поэтому мы не можем пока людей обезопасить от мошенников</w:t>
      </w:r>
      <w:r w:rsidRPr="009234E0">
        <w:t>»</w:t>
      </w:r>
      <w:r w:rsidR="00F91954" w:rsidRPr="009234E0">
        <w:t>, — сказала она.</w:t>
      </w:r>
    </w:p>
    <w:p w:rsidR="00F91954" w:rsidRPr="009234E0" w:rsidRDefault="00F91954" w:rsidP="00F91954">
      <w:r w:rsidRPr="009234E0">
        <w:t>По словам Джуматаевой, нет необходимости принимать данный законопроект, когда вопрос финансирования из средств НПФ можно решить постановлением кабмина.</w:t>
      </w:r>
    </w:p>
    <w:p w:rsidR="00F91954" w:rsidRPr="009234E0" w:rsidRDefault="00E635F7" w:rsidP="00F91954">
      <w:r w:rsidRPr="009234E0">
        <w:t>«</w:t>
      </w:r>
      <w:r w:rsidR="00F91954" w:rsidRPr="009234E0">
        <w:t>Мы и сами хотим дать возможность людям использовать средства накопительного фонда на покупку жилья у  застройщиков. И сейчас разрабатываем механизм. Думаем, как это будет лучше сделать. Возможно, будут выбраны стройкомпании с хорошей репутацией</w:t>
      </w:r>
      <w:r w:rsidRPr="009234E0">
        <w:t>»</w:t>
      </w:r>
      <w:r w:rsidR="00F91954" w:rsidRPr="009234E0">
        <w:t>, — пояснила зампредседателя Соцфонда и пригласила депутатов принять участие в разработке данного механизма.</w:t>
      </w:r>
    </w:p>
    <w:p w:rsidR="00F91954" w:rsidRPr="009234E0" w:rsidRDefault="00F91954" w:rsidP="00F91954">
      <w:r w:rsidRPr="009234E0">
        <w:t>Автор законопроекта депутат Бактыбек Чойбаев выступил категорически против отклонения законопроекта.</w:t>
      </w:r>
    </w:p>
    <w:p w:rsidR="00F91954" w:rsidRPr="009234E0" w:rsidRDefault="00E635F7" w:rsidP="00F91954">
      <w:r w:rsidRPr="009234E0">
        <w:t>«</w:t>
      </w:r>
      <w:r w:rsidR="00F91954" w:rsidRPr="009234E0">
        <w:t>На рынке существует множество строительных компаний, продающих жилье в рассрочку до пяти лет без процентов. Есть много желающих приобрести жилье в рассрочку без процентов, но зачастую не могут внести первоначальный взнос в размере 30% от стоимости жилья. Эта поправка предоставит возможность гражданам прибрести жилье без переплат и уплаты процентов</w:t>
      </w:r>
      <w:r w:rsidRPr="009234E0">
        <w:t>»</w:t>
      </w:r>
      <w:r w:rsidR="00F91954" w:rsidRPr="009234E0">
        <w:t>, — пишет он в справке-обосновании к законопроекту.</w:t>
      </w:r>
    </w:p>
    <w:p w:rsidR="00F91954" w:rsidRPr="009234E0" w:rsidRDefault="00F91954" w:rsidP="00F91954">
      <w:r w:rsidRPr="009234E0">
        <w:lastRenderedPageBreak/>
        <w:t>Отметим, депутаты комитета поддержали законопроект и приняли в первом чтении, несмотря на предостережения кабмина.</w:t>
      </w:r>
    </w:p>
    <w:p w:rsidR="00F91954" w:rsidRPr="009234E0" w:rsidRDefault="00F91954" w:rsidP="00F91954">
      <w:r w:rsidRPr="009234E0">
        <w:t xml:space="preserve">Добавим, изменения принимаются к проекту Закона </w:t>
      </w:r>
      <w:r w:rsidR="00E635F7" w:rsidRPr="009234E0">
        <w:t>«</w:t>
      </w:r>
      <w:r w:rsidRPr="009234E0">
        <w:t>Об инвестировании средств для финансирования накопительной части пенсии по государственному пенсионному социальному страхованию в КР</w:t>
      </w:r>
      <w:r w:rsidR="00E635F7" w:rsidRPr="009234E0">
        <w:t>»</w:t>
      </w:r>
      <w:r w:rsidRPr="009234E0">
        <w:t>.</w:t>
      </w:r>
    </w:p>
    <w:p w:rsidR="005B2053" w:rsidRPr="009234E0" w:rsidRDefault="006E678B" w:rsidP="00F91954">
      <w:hyperlink r:id="rId31" w:history="1">
        <w:r w:rsidR="00F91954" w:rsidRPr="009234E0">
          <w:rPr>
            <w:rStyle w:val="a3"/>
          </w:rPr>
          <w:t>https://www.akchabar.kg/ru/article/economy/socfond-protiv-ispolzovaniya-sredstv-npf-na-pokupku-zhilya-u</w:t>
        </w:r>
      </w:hyperlink>
    </w:p>
    <w:p w:rsidR="00F91954" w:rsidRPr="009234E0" w:rsidRDefault="00F91954" w:rsidP="00F91954"/>
    <w:p w:rsidR="00D1642B" w:rsidRPr="009234E0" w:rsidRDefault="00D1642B" w:rsidP="00D1642B">
      <w:pPr>
        <w:pStyle w:val="10"/>
      </w:pPr>
      <w:bookmarkStart w:id="110" w:name="_Toc99271715"/>
      <w:bookmarkStart w:id="111" w:name="_Toc99318660"/>
      <w:bookmarkStart w:id="112" w:name="_Toc147905709"/>
      <w:r w:rsidRPr="009234E0">
        <w:t>Новости пенсионной отрасли стран дальнего зарубежья</w:t>
      </w:r>
      <w:bookmarkEnd w:id="110"/>
      <w:bookmarkEnd w:id="111"/>
      <w:bookmarkEnd w:id="112"/>
    </w:p>
    <w:p w:rsidR="005B2053" w:rsidRPr="009234E0" w:rsidRDefault="005B2053" w:rsidP="005B2053">
      <w:pPr>
        <w:pStyle w:val="2"/>
      </w:pPr>
      <w:bookmarkStart w:id="113" w:name="_Toc147905710"/>
      <w:r w:rsidRPr="009234E0">
        <w:t>ИА Красная Весна, 10.10.2023, Министр обороны Малайзии сообщил об угрозах пенсионному фонду</w:t>
      </w:r>
      <w:bookmarkEnd w:id="113"/>
    </w:p>
    <w:p w:rsidR="005B2053" w:rsidRPr="009234E0" w:rsidRDefault="005B2053" w:rsidP="009234E0">
      <w:pPr>
        <w:pStyle w:val="3"/>
      </w:pPr>
      <w:bookmarkStart w:id="114" w:name="_Toc147905711"/>
      <w:r w:rsidRPr="009234E0">
        <w:t>Власти Малайзии должны провести реструктуризацию активов группы Boustead Holdings Bhd, чтобы пенсионный фонд ВС Малайзии (LTAT), который зависит от доходов компании, сохранил накопления, заявил министр обороны страны Мохамад Хасан 9 октября, сообщает издание Malay Mail.</w:t>
      </w:r>
      <w:bookmarkEnd w:id="114"/>
    </w:p>
    <w:p w:rsidR="005B2053" w:rsidRPr="009234E0" w:rsidRDefault="005B2053" w:rsidP="005B2053">
      <w:r w:rsidRPr="009234E0">
        <w:t xml:space="preserve">По его словам, нужно предоставить фонду 3,3 млрд ринггита, которые он ранее вложил в Boustead, чтобы тот мог вложить их в </w:t>
      </w:r>
      <w:r w:rsidR="00E635F7" w:rsidRPr="009234E0">
        <w:t>«</w:t>
      </w:r>
      <w:r w:rsidRPr="009234E0">
        <w:t>конкурентноспособные активы</w:t>
      </w:r>
      <w:r w:rsidR="00E635F7" w:rsidRPr="009234E0">
        <w:t>»</w:t>
      </w:r>
      <w:r w:rsidRPr="009234E0">
        <w:t>.</w:t>
      </w:r>
    </w:p>
    <w:p w:rsidR="005B2053" w:rsidRPr="009234E0" w:rsidRDefault="005B2053" w:rsidP="005B2053">
      <w:r w:rsidRPr="009234E0">
        <w:t>Также он подчеркнул, что в случае, если реструктуризации фирмы под угрозой банкротства не будет, то это приведет к перекрестному дефолту по всем кредитам конгломерата на сумму 6,8 млрд. ринггита.</w:t>
      </w:r>
    </w:p>
    <w:p w:rsidR="005B2053" w:rsidRPr="009234E0" w:rsidRDefault="005B2053" w:rsidP="005B2053">
      <w:r w:rsidRPr="009234E0">
        <w:t>Тогда половина стоимости пенсионного фонда, а именно 5 млрд ринггит, исчезнет, подчеркнул Мохамад Хасан.</w:t>
      </w:r>
    </w:p>
    <w:p w:rsidR="005B2053" w:rsidRPr="009234E0" w:rsidRDefault="006E678B" w:rsidP="005B2053">
      <w:hyperlink r:id="rId32" w:history="1">
        <w:r w:rsidR="005B2053" w:rsidRPr="009234E0">
          <w:rPr>
            <w:rStyle w:val="a3"/>
          </w:rPr>
          <w:t>https://rossaprimavera.ru/news/2dd04286</w:t>
        </w:r>
      </w:hyperlink>
      <w:r w:rsidR="005B2053" w:rsidRPr="009234E0">
        <w:t xml:space="preserve"> </w:t>
      </w:r>
    </w:p>
    <w:p w:rsidR="007C6068" w:rsidRPr="009234E0" w:rsidRDefault="007C6068" w:rsidP="007C6068">
      <w:pPr>
        <w:pStyle w:val="2"/>
      </w:pPr>
      <w:bookmarkStart w:id="115" w:name="_Toc147905712"/>
      <w:r w:rsidRPr="009234E0">
        <w:t>ИА Красная весна, 10.10.2023, Правительство Перу вводит минимальную пенсию для частной системы</w:t>
      </w:r>
      <w:bookmarkEnd w:id="115"/>
    </w:p>
    <w:p w:rsidR="007C6068" w:rsidRPr="009234E0" w:rsidRDefault="007C6068" w:rsidP="009234E0">
      <w:pPr>
        <w:pStyle w:val="3"/>
      </w:pPr>
      <w:bookmarkStart w:id="116" w:name="_Toc147905713"/>
      <w:r w:rsidRPr="009234E0">
        <w:t>Законопроект, создающий новую систему социального обеспечения с минимальной пенсией в размере 600 солей (около 16 тыс. руб.), объявило правительство Перу. Об этом 9 октября сообщает пресс-служба министерства экономики и финансов.</w:t>
      </w:r>
      <w:bookmarkEnd w:id="116"/>
    </w:p>
    <w:p w:rsidR="007C6068" w:rsidRPr="009234E0" w:rsidRDefault="007C6068" w:rsidP="007C6068">
      <w:r w:rsidRPr="009234E0">
        <w:t>Глава правительства Перу Альберто Отарола заявил, что это очень важная мера, которая будет в срочном порядке направлена в парламент, чтобы конгрессмены рассмотрели ее как можно скорее.</w:t>
      </w:r>
    </w:p>
    <w:p w:rsidR="007C6068" w:rsidRPr="009234E0" w:rsidRDefault="007C6068" w:rsidP="007C6068">
      <w:r w:rsidRPr="009234E0">
        <w:t>«Мы считаем, что это будет решение, которое раз и навсегда решит серьезную проблему, с которой сталкиваются тысячи перуанцев, особенно тех, кто достигает пенсионного возраста», - рассказал Отарола.</w:t>
      </w:r>
    </w:p>
    <w:p w:rsidR="007C6068" w:rsidRPr="009234E0" w:rsidRDefault="007C6068" w:rsidP="007C6068">
      <w:r w:rsidRPr="009234E0">
        <w:lastRenderedPageBreak/>
        <w:t>Со своей стороны, министр экономики и финансов Алекс Контрерас назвал указал, что это законопроект, имеющий «исторический характер». Таким образом исполнительная власть присоединяется к дискуссии властей о пенсиях.</w:t>
      </w:r>
    </w:p>
    <w:p w:rsidR="007C6068" w:rsidRPr="009234E0" w:rsidRDefault="007C6068" w:rsidP="007C6068">
      <w:r w:rsidRPr="009234E0">
        <w:t>«Мы стремимся создать многополюсную систему, которая впервые в истории установит минимальную пенсию для частной пенсионной системы, что является взглядом в будущее», - заверил Контрерас.</w:t>
      </w:r>
    </w:p>
    <w:p w:rsidR="007C6068" w:rsidRPr="009234E0" w:rsidRDefault="007C6068" w:rsidP="007C6068">
      <w:r w:rsidRPr="009234E0">
        <w:t>Сообщается, что данное предложение предполагает создание универсальной пенсионной системы, которая интегрирует нынешнюю пенсионную систему (частную и государственную) и устанавливает многоуровневую систему, гарантирующую право на достойную пенсию для всех.</w:t>
      </w:r>
    </w:p>
    <w:p w:rsidR="007C6068" w:rsidRPr="009234E0" w:rsidRDefault="007C6068" w:rsidP="007C6068">
      <w:r w:rsidRPr="009234E0">
        <w:t>Конгрессмен Сигрид Базан признала, что пенсии являются частью структурных проблем Перу. «Только 30% экономически активного населения фактически вносят взносы на пенсии. 57% людей старше 65 лет вообще не имеют пенсии. 27% людей, которые внесли взносы в частную пенсионную систему, на данный момент имеют ноль на своем индивидуальном счете», - рассказала член парламента Перу.</w:t>
      </w:r>
    </w:p>
    <w:p w:rsidR="007C6068" w:rsidRPr="009234E0" w:rsidRDefault="006E678B" w:rsidP="007C6068">
      <w:hyperlink r:id="rId33" w:history="1">
        <w:r w:rsidR="007C6068" w:rsidRPr="009234E0">
          <w:rPr>
            <w:rStyle w:val="a3"/>
          </w:rPr>
          <w:t>https://rossaprimavera.ru/news/6d0fa6a2</w:t>
        </w:r>
      </w:hyperlink>
      <w:r w:rsidR="007C6068" w:rsidRPr="009234E0">
        <w:t xml:space="preserve"> </w:t>
      </w:r>
    </w:p>
    <w:p w:rsidR="00D328A7" w:rsidRPr="009234E0" w:rsidRDefault="00D328A7" w:rsidP="00D328A7">
      <w:pPr>
        <w:pStyle w:val="2"/>
      </w:pPr>
      <w:bookmarkStart w:id="117" w:name="_Toc147905714"/>
      <w:r w:rsidRPr="009234E0">
        <w:t>ИА SM-News, 09.10.2023, В Чили вырос уровень одобрения будущей конституции страны</w:t>
      </w:r>
      <w:bookmarkEnd w:id="117"/>
    </w:p>
    <w:p w:rsidR="00D328A7" w:rsidRPr="009234E0" w:rsidRDefault="00D328A7" w:rsidP="009234E0">
      <w:pPr>
        <w:pStyle w:val="3"/>
      </w:pPr>
      <w:bookmarkStart w:id="118" w:name="_Toc147905715"/>
      <w:r w:rsidRPr="009234E0">
        <w:t>В результате массовых протестов, начавшихся в октябре 2019 года, было принято решение о проведении референдума по изменению конституции в Чили. И судя по последним данным соцопроса, все больше людей поддерживают эту инициативу. Одной из основных причин растущей поддержки новой конституции является возможность свободно выбирать лечебные учреждения, образовательные заведения и систему пенсионного обеспечения.</w:t>
      </w:r>
      <w:bookmarkEnd w:id="118"/>
      <w:r w:rsidRPr="009234E0">
        <w:t xml:space="preserve"> </w:t>
      </w:r>
    </w:p>
    <w:p w:rsidR="00D328A7" w:rsidRPr="009234E0" w:rsidRDefault="00D328A7" w:rsidP="00D328A7">
      <w:r w:rsidRPr="009234E0">
        <w:t>Согласно данным опроса, 85% опрошенных высказались в пользу этих нововведений. Неудовлетворенность существующей системой здравоохранения, образования и пенсий является давней проблемой в Чили, и новая конституция может стать шансом для ее решения, сообщает КВ.</w:t>
      </w:r>
    </w:p>
    <w:p w:rsidR="00D328A7" w:rsidRPr="009234E0" w:rsidRDefault="00D328A7" w:rsidP="00D328A7">
      <w:r w:rsidRPr="009234E0">
        <w:t>Еще одним важным изменением, предложенным в новом варианте конституции, является сокращение числа депутатов национального парламента с 155 до 138 человек. Это предложение поддерживается 80% респондентов, которые видят в этом шаге повод для оптимизации работы государственных органов и более эффективного принятия решений.</w:t>
      </w:r>
    </w:p>
    <w:p w:rsidR="00D328A7" w:rsidRPr="009234E0" w:rsidRDefault="00D328A7" w:rsidP="00D328A7">
      <w:r w:rsidRPr="009234E0">
        <w:t>Однако, несмотря на растущую поддержку новой конституции, значительная часть опрошенных граждан (53%) выразила свое нежелание голосовать за ее принятие. Причины отказа от нового варианта закона государства варьируются от опасений о потере определенных гарантий и привилегий, которые обеспечивает существующая конституция, до сомнений в эффективности и прозрачности процесса изменения. Однако, несмотря на это, можно сделать вывод, что общественное мнение в Чили касательно конституционных изменений начинает сдвигаться в сторону поддержки перемен.</w:t>
      </w:r>
    </w:p>
    <w:p w:rsidR="00D1642B" w:rsidRPr="009234E0" w:rsidRDefault="006E678B" w:rsidP="00D328A7">
      <w:hyperlink r:id="rId34" w:history="1">
        <w:r w:rsidR="00D328A7" w:rsidRPr="009234E0">
          <w:rPr>
            <w:rStyle w:val="a3"/>
          </w:rPr>
          <w:t>https://sm.news/news/20231009/475851</w:t>
        </w:r>
      </w:hyperlink>
    </w:p>
    <w:p w:rsidR="00D328A7" w:rsidRPr="009234E0" w:rsidRDefault="00D328A7" w:rsidP="00D328A7"/>
    <w:p w:rsidR="00D1642B" w:rsidRPr="009234E0" w:rsidRDefault="00D1642B" w:rsidP="00D1642B">
      <w:pPr>
        <w:pStyle w:val="251"/>
      </w:pPr>
      <w:bookmarkStart w:id="119" w:name="_Toc99318661"/>
      <w:bookmarkStart w:id="120" w:name="_Toc147905716"/>
      <w:r w:rsidRPr="009234E0">
        <w:lastRenderedPageBreak/>
        <w:t>КОРОНАВИРУС COVID-19 – ПОСЛЕДНИЕ НОВОСТИ</w:t>
      </w:r>
      <w:bookmarkEnd w:id="66"/>
      <w:bookmarkEnd w:id="119"/>
      <w:bookmarkEnd w:id="120"/>
    </w:p>
    <w:p w:rsidR="00CB689A" w:rsidRPr="009234E0" w:rsidRDefault="00CB689A" w:rsidP="00CB689A">
      <w:pPr>
        <w:pStyle w:val="2"/>
      </w:pPr>
      <w:bookmarkStart w:id="121" w:name="_Toc147905717"/>
      <w:r w:rsidRPr="009234E0">
        <w:t>ТАСС, 10.10.2023, Ситуация с ковидом в России стабилизируется - Роспотребнадзор</w:t>
      </w:r>
      <w:bookmarkEnd w:id="121"/>
    </w:p>
    <w:p w:rsidR="00CB689A" w:rsidRPr="009234E0" w:rsidRDefault="00CB689A" w:rsidP="009234E0">
      <w:pPr>
        <w:pStyle w:val="3"/>
      </w:pPr>
      <w:bookmarkStart w:id="122" w:name="_Toc147905718"/>
      <w:r w:rsidRPr="009234E0">
        <w:t>Заболеваемость коронавирусной инфекцией в России снизилась на 3,5% за неделю, ситуация с ковидом стабилизируется. Об этом журналистами сообщили в пресс-службе Роспотребнадзора.</w:t>
      </w:r>
      <w:bookmarkEnd w:id="122"/>
    </w:p>
    <w:p w:rsidR="00CB689A" w:rsidRPr="009234E0" w:rsidRDefault="00E635F7" w:rsidP="00CB689A">
      <w:r w:rsidRPr="009234E0">
        <w:t>«</w:t>
      </w:r>
      <w:r w:rsidR="00CB689A" w:rsidRPr="009234E0">
        <w:t>В настоящее время наблюдается стабилизация эпидемического процесса COVID-19. По итогам 40-й недели 2023 года в России всего зарегистрировано 16 048 случаев заболевания. Показатель заболеваемости составил 11 [случаев] на 100 тыс. населения, что на 3,5% ниже, чем на прошлой неделе</w:t>
      </w:r>
      <w:r w:rsidRPr="009234E0">
        <w:t>»</w:t>
      </w:r>
      <w:r w:rsidR="00CB689A" w:rsidRPr="009234E0">
        <w:t>, - говорится в сообщении.</w:t>
      </w:r>
    </w:p>
    <w:p w:rsidR="00CB689A" w:rsidRPr="009234E0" w:rsidRDefault="00CB689A" w:rsidP="00CB689A">
      <w:r w:rsidRPr="009234E0">
        <w:t>В федеральном оперативном штабе по борьбе коронавирусной инфекцией в свою очередь сообщили, что заболеваемость за неделю выросла в 57 регионах. Число госпитализаций увеличилось на 4,4%.</w:t>
      </w:r>
    </w:p>
    <w:p w:rsidR="00CB689A" w:rsidRPr="009234E0" w:rsidRDefault="00CB689A" w:rsidP="00CB689A">
      <w:r w:rsidRPr="009234E0">
        <w:t xml:space="preserve">По данным штаба, за неделю выздоровели 16 297 человек, что на 20,6% больше в сравнении с предыдущей неделей, 25 человек умерли за этот период. Всего с начала пандемии в России выявили 23 061 960 случаев заражения и 22 498 445 случаев выздоровления, 400 102 человека умерли. </w:t>
      </w:r>
    </w:p>
    <w:p w:rsidR="00CB689A" w:rsidRPr="009234E0" w:rsidRDefault="00CB689A" w:rsidP="00CB689A">
      <w:pPr>
        <w:pStyle w:val="2"/>
      </w:pPr>
      <w:bookmarkStart w:id="123" w:name="_Toc147905719"/>
      <w:r w:rsidRPr="009234E0">
        <w:t>РИА Новости, 10.10.2023, Роспотребнадзор: в РФ стабилизируется ситуация с заболеваемостью коронавирусом</w:t>
      </w:r>
      <w:bookmarkEnd w:id="123"/>
    </w:p>
    <w:p w:rsidR="00CB689A" w:rsidRPr="009234E0" w:rsidRDefault="00CB689A" w:rsidP="009234E0">
      <w:pPr>
        <w:pStyle w:val="3"/>
      </w:pPr>
      <w:bookmarkStart w:id="124" w:name="_Toc147905720"/>
      <w:r w:rsidRPr="009234E0">
        <w:t>Ситуация с заболеваемостью коронавирусом стабилизируется в России, за прошлую неделю зарегистрировано более 16 тысяч случаев, сообщили журналистам в пресс-службе Роспотребнадзора.</w:t>
      </w:r>
      <w:bookmarkEnd w:id="124"/>
    </w:p>
    <w:p w:rsidR="00CB689A" w:rsidRPr="009234E0" w:rsidRDefault="00E635F7" w:rsidP="00CB689A">
      <w:r w:rsidRPr="009234E0">
        <w:t>«</w:t>
      </w:r>
      <w:r w:rsidR="00CB689A" w:rsidRPr="009234E0">
        <w:t>В настоящее время наблюдается стабилизация эпидемического процесса COVID-19. По итогам 40-ой недели 2023 года в России всего зарегистрировано 16 048 случаев заболевания. Показатель заболеваемости составил 11,0 на 100 тысяч населения, что на 3,5% ниже, чем на прошлой неделе</w:t>
      </w:r>
      <w:r w:rsidRPr="009234E0">
        <w:t>»</w:t>
      </w:r>
      <w:r w:rsidR="00CB689A" w:rsidRPr="009234E0">
        <w:t>, - говорится в сообщении.</w:t>
      </w:r>
    </w:p>
    <w:p w:rsidR="00CB689A" w:rsidRPr="009234E0" w:rsidRDefault="00CB689A" w:rsidP="00CB689A">
      <w:r w:rsidRPr="009234E0">
        <w:t xml:space="preserve">По состоянию на 06.10.2023 года в базу VGARus загружено свыше 279 тысяч геномных последовательностей SARS-CoV-2, полученных в результате полногеномного и фрагментного секвенирования, преобладающими остаются последовательности геноварианта </w:t>
      </w:r>
      <w:r w:rsidR="00E635F7" w:rsidRPr="009234E0">
        <w:t>«</w:t>
      </w:r>
      <w:r w:rsidRPr="009234E0">
        <w:t>Омикрон</w:t>
      </w:r>
      <w:r w:rsidR="00E635F7" w:rsidRPr="009234E0">
        <w:t>»</w:t>
      </w:r>
      <w:r w:rsidRPr="009234E0">
        <w:t>, ситуация находится на контроле Роспотребнадзора, заключили в ведомстве.</w:t>
      </w:r>
    </w:p>
    <w:p w:rsidR="00CB689A" w:rsidRPr="009234E0" w:rsidRDefault="00CB689A" w:rsidP="00CB689A">
      <w:pPr>
        <w:pStyle w:val="2"/>
      </w:pPr>
      <w:bookmarkStart w:id="125" w:name="_Toc147905721"/>
      <w:r w:rsidRPr="009234E0">
        <w:lastRenderedPageBreak/>
        <w:t>РИА Новости, 10.10.2023, Вакцины, защищающие сразу от гриппа и COVID, могут появиться в 2024-2025 г - НИИ гриппа</w:t>
      </w:r>
      <w:bookmarkEnd w:id="125"/>
    </w:p>
    <w:p w:rsidR="00CB689A" w:rsidRPr="009234E0" w:rsidRDefault="00CB689A" w:rsidP="009234E0">
      <w:pPr>
        <w:pStyle w:val="3"/>
      </w:pPr>
      <w:bookmarkStart w:id="126" w:name="_Toc147905722"/>
      <w:r w:rsidRPr="009234E0">
        <w:t>Отечественные комбинированные вакцины, защищающие сразу от гриппа и коронавируса, могут появиться в 2024-2025 году, считает директор НИИ гриппа имени Смородинцева Минздрава России Дмитрий Лиознов.</w:t>
      </w:r>
      <w:bookmarkEnd w:id="126"/>
    </w:p>
    <w:p w:rsidR="00CB689A" w:rsidRPr="009234E0" w:rsidRDefault="00E635F7" w:rsidP="00CB689A">
      <w:r w:rsidRPr="009234E0">
        <w:t>«</w:t>
      </w:r>
      <w:r w:rsidR="00CB689A" w:rsidRPr="009234E0">
        <w:t>Я думаю, что в ближайшее время мы увидим такие препараты, в том числе отечественные, которые будут одновременно защищать от гриппа и от ковида, в 2024-2025 году</w:t>
      </w:r>
      <w:r w:rsidRPr="009234E0">
        <w:t>»</w:t>
      </w:r>
      <w:r w:rsidR="00CB689A" w:rsidRPr="009234E0">
        <w:t xml:space="preserve">, - сказал Лиознов на пресс-конференции о сезонном всплеске заболеваний гриппом и ОРВИ, которая прошла в международном мультимедийном пресс-центре медиагруппы </w:t>
      </w:r>
      <w:r w:rsidRPr="009234E0">
        <w:t>«</w:t>
      </w:r>
      <w:r w:rsidR="00CB689A" w:rsidRPr="009234E0">
        <w:t>Россия сегодня</w:t>
      </w:r>
      <w:r w:rsidRPr="009234E0">
        <w:t>»</w:t>
      </w:r>
      <w:r w:rsidR="00CB689A" w:rsidRPr="009234E0">
        <w:t xml:space="preserve">. </w:t>
      </w:r>
    </w:p>
    <w:p w:rsidR="00CB689A" w:rsidRPr="009234E0" w:rsidRDefault="00CB689A" w:rsidP="00CB689A">
      <w:pPr>
        <w:pStyle w:val="2"/>
      </w:pPr>
      <w:bookmarkStart w:id="127" w:name="_Toc147905723"/>
      <w:r w:rsidRPr="009234E0">
        <w:t xml:space="preserve">ТАСС, 10.10.2023, МГУ прекратил разработку вакцины от коронавируса - </w:t>
      </w:r>
      <w:r w:rsidR="00E635F7" w:rsidRPr="009234E0">
        <w:t>«</w:t>
      </w:r>
      <w:r w:rsidRPr="009234E0">
        <w:t>Р-Фарм</w:t>
      </w:r>
      <w:r w:rsidR="00E635F7" w:rsidRPr="009234E0">
        <w:t>»</w:t>
      </w:r>
      <w:bookmarkEnd w:id="127"/>
    </w:p>
    <w:p w:rsidR="00CB689A" w:rsidRPr="009234E0" w:rsidRDefault="00CB689A" w:rsidP="009234E0">
      <w:pPr>
        <w:pStyle w:val="3"/>
      </w:pPr>
      <w:bookmarkStart w:id="128" w:name="_Toc147905724"/>
      <w:r w:rsidRPr="009234E0">
        <w:t xml:space="preserve">Московский государственный университет им. М. В. Ломоносова прекратил работу над созданием вакцины против коронавируса, но разработка платформы для других вакцин продолжается. Об этом сообщил ТАСС генеральный директор фармацевтической компании </w:t>
      </w:r>
      <w:r w:rsidR="00E635F7" w:rsidRPr="009234E0">
        <w:t>«</w:t>
      </w:r>
      <w:r w:rsidRPr="009234E0">
        <w:t>Р-Фарм</w:t>
      </w:r>
      <w:r w:rsidR="00E635F7" w:rsidRPr="009234E0">
        <w:t>»</w:t>
      </w:r>
      <w:r w:rsidRPr="009234E0">
        <w:t xml:space="preserve"> Василий Игнатьев в кулуарах форума </w:t>
      </w:r>
      <w:r w:rsidR="00E635F7" w:rsidRPr="009234E0">
        <w:t>«</w:t>
      </w:r>
      <w:r w:rsidRPr="009234E0">
        <w:t>Биотехмед</w:t>
      </w:r>
      <w:r w:rsidR="00E635F7" w:rsidRPr="009234E0">
        <w:t>»</w:t>
      </w:r>
      <w:r w:rsidRPr="009234E0">
        <w:t>.</w:t>
      </w:r>
      <w:bookmarkEnd w:id="128"/>
    </w:p>
    <w:p w:rsidR="00CB689A" w:rsidRPr="009234E0" w:rsidRDefault="00E635F7" w:rsidP="00CB689A">
      <w:r w:rsidRPr="009234E0">
        <w:t>«</w:t>
      </w:r>
      <w:r w:rsidR="00CB689A" w:rsidRPr="009234E0">
        <w:t>В части коронавируса остановлена, в части разработки платформы для других будущих вакцин продолжается</w:t>
      </w:r>
      <w:r w:rsidRPr="009234E0">
        <w:t>»</w:t>
      </w:r>
      <w:r w:rsidR="00CB689A" w:rsidRPr="009234E0">
        <w:t>, - сказал он.</w:t>
      </w:r>
    </w:p>
    <w:p w:rsidR="00CB689A" w:rsidRPr="009234E0" w:rsidRDefault="00CB689A" w:rsidP="00CB689A">
      <w:r w:rsidRPr="009234E0">
        <w:t xml:space="preserve">Разработка вакцины началась летом 2020 года на биологическом факультете МГУ, финансирование работ осуществлялось группой компаний </w:t>
      </w:r>
      <w:r w:rsidR="00E635F7" w:rsidRPr="009234E0">
        <w:t>«</w:t>
      </w:r>
      <w:r w:rsidRPr="009234E0">
        <w:t>Р-Фарм</w:t>
      </w:r>
      <w:r w:rsidR="00E635F7" w:rsidRPr="009234E0">
        <w:t>»</w:t>
      </w:r>
      <w:r w:rsidRPr="009234E0">
        <w:t>. При разработке вакцины использовалась запатентованная платформенная технология на основе вирусов растений, созданная учеными МГУ.</w:t>
      </w:r>
    </w:p>
    <w:p w:rsidR="00D1642B" w:rsidRDefault="00CB689A" w:rsidP="00CB689A">
      <w:r w:rsidRPr="009234E0">
        <w:t xml:space="preserve">Игнатьев сообщал, что в случае успешного завершения исследований вакцина будет выпускаться на производственной площадке </w:t>
      </w:r>
      <w:r w:rsidR="00E635F7" w:rsidRPr="009234E0">
        <w:t>«</w:t>
      </w:r>
      <w:r w:rsidRPr="009234E0">
        <w:t>Р-Фарм</w:t>
      </w:r>
      <w:r w:rsidR="00E635F7" w:rsidRPr="009234E0">
        <w:t>»</w:t>
      </w:r>
      <w:r w:rsidRPr="009234E0">
        <w:t>.</w:t>
      </w:r>
    </w:p>
    <w:p w:rsidR="00CB689A" w:rsidRDefault="00CB689A" w:rsidP="00CB689A"/>
    <w:sectPr w:rsidR="00CB689A" w:rsidSect="00B01BEA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 w:code="9"/>
      <w:pgMar w:top="198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78B" w:rsidRDefault="006E678B">
      <w:r>
        <w:separator/>
      </w:r>
    </w:p>
  </w:endnote>
  <w:endnote w:type="continuationSeparator" w:id="0">
    <w:p w:rsidR="006E678B" w:rsidRDefault="006E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8C" w:rsidRDefault="001E348C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8C" w:rsidRPr="00D64E5C" w:rsidRDefault="001E348C" w:rsidP="00D64E5C">
    <w:pPr>
      <w:pStyle w:val="af4"/>
      <w:pBdr>
        <w:top w:val="thinThickSmallGap" w:sz="24" w:space="1" w:color="622423"/>
      </w:pBdr>
      <w:tabs>
        <w:tab w:val="clear" w:pos="4677"/>
        <w:tab w:val="clear" w:pos="9355"/>
        <w:tab w:val="right" w:pos="9071"/>
      </w:tabs>
      <w:rPr>
        <w:rFonts w:ascii="Cambria" w:hAnsi="Cambria"/>
      </w:rPr>
    </w:pPr>
    <w:r w:rsidRPr="00D64E5C">
      <w:rPr>
        <w:rFonts w:ascii="Cambria" w:hAnsi="Cambria"/>
        <w:b/>
        <w:color w:val="FF0000"/>
      </w:rPr>
      <w:t>И-</w:t>
    </w:r>
    <w:r w:rsidRPr="00D64E5C">
      <w:rPr>
        <w:rFonts w:ascii="Cambria" w:hAnsi="Cambria"/>
        <w:b/>
      </w:rPr>
      <w:t>К</w:t>
    </w:r>
    <w:r w:rsidRPr="000E3494">
      <w:rPr>
        <w:b/>
      </w:rPr>
      <w:t>ОНСА</w:t>
    </w:r>
    <w:r w:rsidRPr="00D64E5C">
      <w:rPr>
        <w:rFonts w:ascii="Cambria" w:hAnsi="Cambria"/>
        <w:b/>
      </w:rPr>
      <w:t>ЛТИНГ</w:t>
    </w:r>
    <w:r w:rsidRPr="00D64E5C">
      <w:rPr>
        <w:rFonts w:ascii="Cambria" w:hAnsi="Cambria"/>
        <w:b/>
        <w:color w:val="FF0000"/>
      </w:rPr>
      <w:t>: Н</w:t>
    </w:r>
    <w:r w:rsidRPr="00D64E5C">
      <w:rPr>
        <w:rFonts w:ascii="Cambria" w:hAnsi="Cambria"/>
      </w:rPr>
      <w:t xml:space="preserve">овое </w:t>
    </w:r>
    <w:r w:rsidRPr="00D64E5C">
      <w:rPr>
        <w:rFonts w:ascii="Cambria" w:hAnsi="Cambria"/>
        <w:b/>
        <w:color w:val="FF0000"/>
      </w:rPr>
      <w:t>С</w:t>
    </w:r>
    <w:r w:rsidRPr="00D64E5C">
      <w:rPr>
        <w:rFonts w:ascii="Cambria" w:hAnsi="Cambria"/>
      </w:rPr>
      <w:t xml:space="preserve">лово в </w:t>
    </w:r>
    <w:r w:rsidRPr="00D64E5C">
      <w:rPr>
        <w:rFonts w:ascii="Cambria" w:hAnsi="Cambria"/>
        <w:b/>
        <w:color w:val="FF0000"/>
      </w:rPr>
      <w:t>З</w:t>
    </w:r>
    <w:r w:rsidRPr="00D64E5C">
      <w:rPr>
        <w:rFonts w:ascii="Cambria" w:hAnsi="Cambria"/>
      </w:rPr>
      <w:t xml:space="preserve">ащите </w:t>
    </w:r>
    <w:r w:rsidRPr="00D64E5C">
      <w:rPr>
        <w:rFonts w:ascii="Cambria" w:hAnsi="Cambria"/>
        <w:b/>
        <w:color w:val="FF0000"/>
      </w:rPr>
      <w:t>К</w:t>
    </w:r>
    <w:r w:rsidRPr="00D64E5C">
      <w:rPr>
        <w:rFonts w:ascii="Cambria" w:hAnsi="Cambria"/>
      </w:rPr>
      <w:t xml:space="preserve">орпоративных </w:t>
    </w:r>
    <w:r w:rsidRPr="00D64E5C">
      <w:rPr>
        <w:rFonts w:ascii="Cambria" w:hAnsi="Cambria"/>
        <w:b/>
        <w:color w:val="FF0000"/>
      </w:rPr>
      <w:t>И</w:t>
    </w:r>
    <w:r w:rsidRPr="00D64E5C">
      <w:rPr>
        <w:rFonts w:ascii="Cambria" w:hAnsi="Cambria"/>
      </w:rPr>
      <w:t>нтересов</w:t>
    </w:r>
    <w:r w:rsidRPr="00D64E5C">
      <w:tab/>
    </w:r>
    <w:r w:rsidRPr="00CB47BF">
      <w:rPr>
        <w:b/>
      </w:rPr>
      <w:fldChar w:fldCharType="begin"/>
    </w:r>
    <w:r w:rsidRPr="00CB47BF">
      <w:rPr>
        <w:b/>
      </w:rPr>
      <w:instrText xml:space="preserve"> PAGE   \* MERGEFORMAT </w:instrText>
    </w:r>
    <w:r w:rsidRPr="00CB47BF">
      <w:rPr>
        <w:b/>
      </w:rPr>
      <w:fldChar w:fldCharType="separate"/>
    </w:r>
    <w:r w:rsidR="00974620" w:rsidRPr="00974620">
      <w:rPr>
        <w:rFonts w:ascii="Cambria" w:hAnsi="Cambria"/>
        <w:b/>
        <w:noProof/>
      </w:rPr>
      <w:t>2</w:t>
    </w:r>
    <w:r w:rsidRPr="00CB47BF">
      <w:rPr>
        <w:b/>
      </w:rPr>
      <w:fldChar w:fldCharType="end"/>
    </w:r>
  </w:p>
  <w:p w:rsidR="001E348C" w:rsidRPr="00D15988" w:rsidRDefault="001E348C" w:rsidP="00D64E5C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8C" w:rsidRDefault="001E348C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78B" w:rsidRDefault="006E678B">
      <w:r>
        <w:separator/>
      </w:r>
    </w:p>
  </w:footnote>
  <w:footnote w:type="continuationSeparator" w:id="0">
    <w:p w:rsidR="006E678B" w:rsidRDefault="006E6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8C" w:rsidRDefault="001E348C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8C" w:rsidRDefault="006E678B" w:rsidP="00122493">
    <w:pPr>
      <w:tabs>
        <w:tab w:val="left" w:pos="555"/>
        <w:tab w:val="right" w:pos="9071"/>
      </w:tabs>
      <w:jc w:val="center"/>
    </w:pPr>
    <w:r>
      <w:rPr>
        <w:noProof/>
      </w:rPr>
      <w:pict>
        <v:roundrect id="_x0000_s2058" style="position:absolute;left:0;text-align:left;margin-left:127.5pt;margin-top:-13.7pt;width:188.6pt;height:31.25pt;z-index:1" arcsize="10923f" stroked="f">
          <v:textbox style="mso-next-textbox:#_x0000_s2058">
            <w:txbxContent>
              <w:p w:rsidR="001E348C" w:rsidRPr="000C041B" w:rsidRDefault="001E348C" w:rsidP="00122493">
                <w:pPr>
                  <w:ind w:right="423"/>
                  <w:jc w:val="center"/>
                  <w:rPr>
                    <w:rFonts w:cs="Arial"/>
                    <w:b/>
                    <w:color w:val="EEECE1"/>
                    <w:sz w:val="6"/>
                    <w:szCs w:val="6"/>
                  </w:rPr>
                </w:pPr>
                <w:r w:rsidRPr="000C041B">
                  <w:rPr>
                    <w:rFonts w:cs="Arial"/>
                    <w:b/>
                    <w:color w:val="EEECE1"/>
                    <w:sz w:val="6"/>
                    <w:szCs w:val="6"/>
                  </w:rPr>
                  <w:t xml:space="preserve">        </w:t>
                </w:r>
              </w:p>
              <w:p w:rsidR="001E348C" w:rsidRPr="00D15988" w:rsidRDefault="001E348C" w:rsidP="00122493">
                <w:pPr>
                  <w:ind w:right="423"/>
                  <w:jc w:val="center"/>
                  <w:rPr>
                    <w:rFonts w:cs="Arial"/>
                    <w:b/>
                    <w:u w:val="single"/>
                  </w:rPr>
                </w:pPr>
                <w:r w:rsidRPr="000C041B">
                  <w:rPr>
                    <w:rFonts w:cs="Arial"/>
                    <w:b/>
                  </w:rPr>
                  <w:t xml:space="preserve">       </w:t>
                </w:r>
                <w:r w:rsidRPr="00D15988">
                  <w:rPr>
                    <w:b/>
                    <w:color w:val="FF0000"/>
                    <w:u w:val="single"/>
                  </w:rPr>
                  <w:t>М</w:t>
                </w:r>
                <w:r w:rsidRPr="00D15988">
                  <w:rPr>
                    <w:rFonts w:cs="Arial"/>
                    <w:b/>
                    <w:u w:val="single"/>
                  </w:rPr>
                  <w:t>ОНИТОРИНГ СМИ</w:t>
                </w:r>
              </w:p>
              <w:p w:rsidR="001E348C" w:rsidRPr="007336C7" w:rsidRDefault="001E348C" w:rsidP="00122493">
                <w:pPr>
                  <w:ind w:right="423"/>
                  <w:rPr>
                    <w:rFonts w:cs="Arial"/>
                  </w:rPr>
                </w:pPr>
              </w:p>
              <w:p w:rsidR="001E348C" w:rsidRPr="00267F53" w:rsidRDefault="001E348C" w:rsidP="00122493"/>
            </w:txbxContent>
          </v:textbox>
        </v:roundrect>
      </w:pict>
    </w:r>
    <w:r w:rsidR="001E348C">
      <w:t xml:space="preserve">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156pt;height:32.25pt">
          <v:imagedata r:id="rId1" o:title="Колонтитул"/>
        </v:shape>
      </w:pict>
    </w:r>
    <w:r w:rsidR="001E348C">
      <w:t xml:space="preserve">            </w:t>
    </w:r>
    <w:r w:rsidR="001E348C">
      <w:tab/>
    </w:r>
    <w:r w:rsidR="00977247">
      <w:fldChar w:fldCharType="begin"/>
    </w:r>
    <w:r w:rsidR="00977247">
      <w:instrText xml:space="preserve"> 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 MERGEFORMATINET </w:instrText>
    </w:r>
    <w:r w:rsidR="00977247">
      <w:fldChar w:fldCharType="separate"/>
    </w:r>
    <w:r>
      <w:fldChar w:fldCharType="begin"/>
    </w:r>
    <w:r>
      <w:instrText xml:space="preserve"> </w:instrText>
    </w:r>
    <w:r>
      <w:instrText>INCLUDEPICTURE  "https://apf.mail.ru/cgi-bin/readmsg/%D0%9B%D0%BE%D0%B3%D0%BE%D1%82%D0%B8%D0%BF.PNG?id=14089677830000000986;0;1&amp;x-email=natulek_8@mail.ru&amp;exif=1&amp;bs=4924&amp;bl=52781&amp;ct=image/png&amp;cn=%D0%9B%D0%BE%D0%B3%D0%BE%D1%82%D0%B8%D0%BF.PNG&amp;cte=base64" \*</w:instrText>
    </w:r>
    <w:r>
      <w:instrText xml:space="preserve"> MERGEFORMATINET</w:instrText>
    </w:r>
    <w:r>
      <w:instrText xml:space="preserve"> </w:instrText>
    </w:r>
    <w:r>
      <w:fldChar w:fldCharType="separate"/>
    </w:r>
    <w:r>
      <w:pict>
        <v:shape id="_x0000_i1032" type="#_x0000_t75" style="width:2in;height:51.75pt">
          <v:imagedata r:id="rId3" r:href="rId2"/>
        </v:shape>
      </w:pict>
    </w:r>
    <w:r>
      <w:fldChar w:fldCharType="end"/>
    </w:r>
    <w:r w:rsidR="00977247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8C" w:rsidRDefault="001E348C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C29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747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1646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45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4D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3261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3E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69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785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46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146D7"/>
    <w:multiLevelType w:val="hybridMultilevel"/>
    <w:tmpl w:val="F2CAC62A"/>
    <w:lvl w:ilvl="0" w:tplc="F4C02EC8">
      <w:start w:val="1"/>
      <w:numFmt w:val="bullet"/>
      <w:pStyle w:val="1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5B0303E"/>
    <w:multiLevelType w:val="hybridMultilevel"/>
    <w:tmpl w:val="2564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776F"/>
    <w:multiLevelType w:val="multilevel"/>
    <w:tmpl w:val="4FBA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A1494A"/>
    <w:multiLevelType w:val="hybridMultilevel"/>
    <w:tmpl w:val="C012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93481"/>
    <w:multiLevelType w:val="hybridMultilevel"/>
    <w:tmpl w:val="E31A1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605C4"/>
    <w:multiLevelType w:val="hybridMultilevel"/>
    <w:tmpl w:val="8F16C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284F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2017E"/>
    <w:multiLevelType w:val="multilevel"/>
    <w:tmpl w:val="06F6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B2DC4"/>
    <w:multiLevelType w:val="multilevel"/>
    <w:tmpl w:val="0C86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B40D9B"/>
    <w:multiLevelType w:val="multilevel"/>
    <w:tmpl w:val="2F8A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553F6"/>
    <w:multiLevelType w:val="hybridMultilevel"/>
    <w:tmpl w:val="A45CE8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35E3B98"/>
    <w:multiLevelType w:val="hybridMultilevel"/>
    <w:tmpl w:val="C75C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A261A"/>
    <w:multiLevelType w:val="multilevel"/>
    <w:tmpl w:val="D69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5E4C01"/>
    <w:multiLevelType w:val="hybridMultilevel"/>
    <w:tmpl w:val="A18C2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D5BB2"/>
    <w:multiLevelType w:val="hybridMultilevel"/>
    <w:tmpl w:val="28581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656C3"/>
    <w:multiLevelType w:val="multilevel"/>
    <w:tmpl w:val="5A84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E7C1B"/>
    <w:multiLevelType w:val="multilevel"/>
    <w:tmpl w:val="EA86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F0671"/>
    <w:multiLevelType w:val="hybridMultilevel"/>
    <w:tmpl w:val="97041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C3340"/>
    <w:multiLevelType w:val="multilevel"/>
    <w:tmpl w:val="AD24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17"/>
  </w:num>
  <w:num w:numId="5">
    <w:abstractNumId w:val="18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26"/>
  </w:num>
  <w:num w:numId="25">
    <w:abstractNumId w:val="20"/>
  </w:num>
  <w:num w:numId="26">
    <w:abstractNumId w:val="13"/>
  </w:num>
  <w:num w:numId="27">
    <w:abstractNumId w:val="11"/>
  </w:num>
  <w:num w:numId="28">
    <w:abstractNumId w:val="22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9">
      <o:colormru v:ext="edit" colors="#060,#003e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ABA"/>
    <w:rsid w:val="00000423"/>
    <w:rsid w:val="000008BF"/>
    <w:rsid w:val="00000925"/>
    <w:rsid w:val="00001218"/>
    <w:rsid w:val="00001928"/>
    <w:rsid w:val="000024DF"/>
    <w:rsid w:val="00003588"/>
    <w:rsid w:val="00003792"/>
    <w:rsid w:val="00003997"/>
    <w:rsid w:val="0000408E"/>
    <w:rsid w:val="000045B5"/>
    <w:rsid w:val="000045C7"/>
    <w:rsid w:val="000046BE"/>
    <w:rsid w:val="00006AB3"/>
    <w:rsid w:val="00011DCE"/>
    <w:rsid w:val="00011F4B"/>
    <w:rsid w:val="00012066"/>
    <w:rsid w:val="0001460C"/>
    <w:rsid w:val="00014851"/>
    <w:rsid w:val="00015103"/>
    <w:rsid w:val="000173F8"/>
    <w:rsid w:val="00017DAF"/>
    <w:rsid w:val="000214CF"/>
    <w:rsid w:val="0002219C"/>
    <w:rsid w:val="000224D4"/>
    <w:rsid w:val="00022552"/>
    <w:rsid w:val="00022EEA"/>
    <w:rsid w:val="0002368C"/>
    <w:rsid w:val="00024DD7"/>
    <w:rsid w:val="00025C39"/>
    <w:rsid w:val="00025D7E"/>
    <w:rsid w:val="00026667"/>
    <w:rsid w:val="00026696"/>
    <w:rsid w:val="00026A5A"/>
    <w:rsid w:val="00026B66"/>
    <w:rsid w:val="00026FD0"/>
    <w:rsid w:val="00027A51"/>
    <w:rsid w:val="0003060B"/>
    <w:rsid w:val="000306B3"/>
    <w:rsid w:val="00031095"/>
    <w:rsid w:val="00031459"/>
    <w:rsid w:val="000316E1"/>
    <w:rsid w:val="00031BEF"/>
    <w:rsid w:val="00032FE8"/>
    <w:rsid w:val="000342C0"/>
    <w:rsid w:val="00034842"/>
    <w:rsid w:val="00035A6F"/>
    <w:rsid w:val="00035EF6"/>
    <w:rsid w:val="0003736E"/>
    <w:rsid w:val="0003750D"/>
    <w:rsid w:val="00040688"/>
    <w:rsid w:val="0004081E"/>
    <w:rsid w:val="000425D1"/>
    <w:rsid w:val="000434FF"/>
    <w:rsid w:val="00043EB5"/>
    <w:rsid w:val="00044DAB"/>
    <w:rsid w:val="00044FF0"/>
    <w:rsid w:val="0004668F"/>
    <w:rsid w:val="00046F49"/>
    <w:rsid w:val="000475BD"/>
    <w:rsid w:val="00047902"/>
    <w:rsid w:val="000479AC"/>
    <w:rsid w:val="000479B5"/>
    <w:rsid w:val="00047D25"/>
    <w:rsid w:val="00047DF0"/>
    <w:rsid w:val="00047E8B"/>
    <w:rsid w:val="0005172F"/>
    <w:rsid w:val="00051910"/>
    <w:rsid w:val="00051AC6"/>
    <w:rsid w:val="00053F0D"/>
    <w:rsid w:val="000551CD"/>
    <w:rsid w:val="00056FB7"/>
    <w:rsid w:val="00056FC1"/>
    <w:rsid w:val="00057E6B"/>
    <w:rsid w:val="00057EDF"/>
    <w:rsid w:val="00057F9D"/>
    <w:rsid w:val="00060215"/>
    <w:rsid w:val="000609EC"/>
    <w:rsid w:val="00060C72"/>
    <w:rsid w:val="00060DFF"/>
    <w:rsid w:val="00060FA8"/>
    <w:rsid w:val="000621BE"/>
    <w:rsid w:val="00062422"/>
    <w:rsid w:val="00064511"/>
    <w:rsid w:val="0006456B"/>
    <w:rsid w:val="00064657"/>
    <w:rsid w:val="00064F8E"/>
    <w:rsid w:val="00065194"/>
    <w:rsid w:val="0006546E"/>
    <w:rsid w:val="00067548"/>
    <w:rsid w:val="00067BB4"/>
    <w:rsid w:val="00067F39"/>
    <w:rsid w:val="00071D93"/>
    <w:rsid w:val="000726EE"/>
    <w:rsid w:val="00072BE2"/>
    <w:rsid w:val="00073671"/>
    <w:rsid w:val="0007372A"/>
    <w:rsid w:val="00073790"/>
    <w:rsid w:val="000749A3"/>
    <w:rsid w:val="000755E4"/>
    <w:rsid w:val="0007579D"/>
    <w:rsid w:val="00075912"/>
    <w:rsid w:val="000759EE"/>
    <w:rsid w:val="00076407"/>
    <w:rsid w:val="00076AD1"/>
    <w:rsid w:val="00076EF5"/>
    <w:rsid w:val="00077B8F"/>
    <w:rsid w:val="00080608"/>
    <w:rsid w:val="0008110E"/>
    <w:rsid w:val="0008167F"/>
    <w:rsid w:val="0008384D"/>
    <w:rsid w:val="00083C23"/>
    <w:rsid w:val="00084F93"/>
    <w:rsid w:val="00085E50"/>
    <w:rsid w:val="00086433"/>
    <w:rsid w:val="000867E7"/>
    <w:rsid w:val="00086E3C"/>
    <w:rsid w:val="000904AD"/>
    <w:rsid w:val="000907CC"/>
    <w:rsid w:val="000912D7"/>
    <w:rsid w:val="00091E81"/>
    <w:rsid w:val="00092188"/>
    <w:rsid w:val="00092B0E"/>
    <w:rsid w:val="00092B60"/>
    <w:rsid w:val="00093E4A"/>
    <w:rsid w:val="0009401E"/>
    <w:rsid w:val="00094725"/>
    <w:rsid w:val="0009547A"/>
    <w:rsid w:val="00096078"/>
    <w:rsid w:val="00097677"/>
    <w:rsid w:val="00097BE1"/>
    <w:rsid w:val="000A13C2"/>
    <w:rsid w:val="000A184B"/>
    <w:rsid w:val="000A1858"/>
    <w:rsid w:val="000A2829"/>
    <w:rsid w:val="000A3727"/>
    <w:rsid w:val="000A41CA"/>
    <w:rsid w:val="000A4DD6"/>
    <w:rsid w:val="000A5E36"/>
    <w:rsid w:val="000A628E"/>
    <w:rsid w:val="000A7421"/>
    <w:rsid w:val="000B0494"/>
    <w:rsid w:val="000B0936"/>
    <w:rsid w:val="000B1180"/>
    <w:rsid w:val="000B21B7"/>
    <w:rsid w:val="000B2B04"/>
    <w:rsid w:val="000B2F3D"/>
    <w:rsid w:val="000B301B"/>
    <w:rsid w:val="000B3611"/>
    <w:rsid w:val="000B3970"/>
    <w:rsid w:val="000B421A"/>
    <w:rsid w:val="000B4592"/>
    <w:rsid w:val="000B4CB7"/>
    <w:rsid w:val="000B5020"/>
    <w:rsid w:val="000B527E"/>
    <w:rsid w:val="000B647C"/>
    <w:rsid w:val="000B655A"/>
    <w:rsid w:val="000B66D1"/>
    <w:rsid w:val="000B6C19"/>
    <w:rsid w:val="000B7098"/>
    <w:rsid w:val="000B735F"/>
    <w:rsid w:val="000B7CD7"/>
    <w:rsid w:val="000B7E75"/>
    <w:rsid w:val="000C041B"/>
    <w:rsid w:val="000C1330"/>
    <w:rsid w:val="000C1348"/>
    <w:rsid w:val="000C16F7"/>
    <w:rsid w:val="000C1A46"/>
    <w:rsid w:val="000C2290"/>
    <w:rsid w:val="000C2327"/>
    <w:rsid w:val="000C3979"/>
    <w:rsid w:val="000C4EE4"/>
    <w:rsid w:val="000C5BB6"/>
    <w:rsid w:val="000C5FC8"/>
    <w:rsid w:val="000C67C1"/>
    <w:rsid w:val="000C6BFC"/>
    <w:rsid w:val="000C7D5E"/>
    <w:rsid w:val="000D0064"/>
    <w:rsid w:val="000D121B"/>
    <w:rsid w:val="000D23A3"/>
    <w:rsid w:val="000D567E"/>
    <w:rsid w:val="000D5B7B"/>
    <w:rsid w:val="000D5C9C"/>
    <w:rsid w:val="000D5CB9"/>
    <w:rsid w:val="000D5E2A"/>
    <w:rsid w:val="000D65C5"/>
    <w:rsid w:val="000D668F"/>
    <w:rsid w:val="000D6FBC"/>
    <w:rsid w:val="000D73FB"/>
    <w:rsid w:val="000E091C"/>
    <w:rsid w:val="000E0AE6"/>
    <w:rsid w:val="000E0F94"/>
    <w:rsid w:val="000E13FC"/>
    <w:rsid w:val="000E278F"/>
    <w:rsid w:val="000E3494"/>
    <w:rsid w:val="000E4AB8"/>
    <w:rsid w:val="000E50E7"/>
    <w:rsid w:val="000E60CA"/>
    <w:rsid w:val="000E6448"/>
    <w:rsid w:val="000F0114"/>
    <w:rsid w:val="000F0AE5"/>
    <w:rsid w:val="000F1475"/>
    <w:rsid w:val="000F17A4"/>
    <w:rsid w:val="000F1BB0"/>
    <w:rsid w:val="000F22A8"/>
    <w:rsid w:val="000F295A"/>
    <w:rsid w:val="000F3C95"/>
    <w:rsid w:val="000F3FEF"/>
    <w:rsid w:val="000F4431"/>
    <w:rsid w:val="000F658F"/>
    <w:rsid w:val="000F692F"/>
    <w:rsid w:val="0010149B"/>
    <w:rsid w:val="0010169E"/>
    <w:rsid w:val="00101B63"/>
    <w:rsid w:val="00101EFA"/>
    <w:rsid w:val="00102FA6"/>
    <w:rsid w:val="00103125"/>
    <w:rsid w:val="0010376F"/>
    <w:rsid w:val="001037E4"/>
    <w:rsid w:val="001045C6"/>
    <w:rsid w:val="001047E0"/>
    <w:rsid w:val="00105129"/>
    <w:rsid w:val="00105DF2"/>
    <w:rsid w:val="0010672E"/>
    <w:rsid w:val="00106760"/>
    <w:rsid w:val="00110E70"/>
    <w:rsid w:val="001122D3"/>
    <w:rsid w:val="00112323"/>
    <w:rsid w:val="00112A2C"/>
    <w:rsid w:val="00113539"/>
    <w:rsid w:val="001145CE"/>
    <w:rsid w:val="001150A1"/>
    <w:rsid w:val="00115E7F"/>
    <w:rsid w:val="00116735"/>
    <w:rsid w:val="00116DF9"/>
    <w:rsid w:val="001174FE"/>
    <w:rsid w:val="0011777B"/>
    <w:rsid w:val="00120807"/>
    <w:rsid w:val="0012191A"/>
    <w:rsid w:val="00121E5C"/>
    <w:rsid w:val="001222BB"/>
    <w:rsid w:val="00122493"/>
    <w:rsid w:val="001227B8"/>
    <w:rsid w:val="00122ABB"/>
    <w:rsid w:val="001230C9"/>
    <w:rsid w:val="001230E7"/>
    <w:rsid w:val="00123672"/>
    <w:rsid w:val="00123823"/>
    <w:rsid w:val="001239B6"/>
    <w:rsid w:val="00123BB3"/>
    <w:rsid w:val="00123CD0"/>
    <w:rsid w:val="001248BA"/>
    <w:rsid w:val="001258AD"/>
    <w:rsid w:val="00126465"/>
    <w:rsid w:val="001306D0"/>
    <w:rsid w:val="00130B16"/>
    <w:rsid w:val="00131356"/>
    <w:rsid w:val="001319B0"/>
    <w:rsid w:val="001328E6"/>
    <w:rsid w:val="00132CD1"/>
    <w:rsid w:val="00132E98"/>
    <w:rsid w:val="001331C8"/>
    <w:rsid w:val="001335EE"/>
    <w:rsid w:val="00133769"/>
    <w:rsid w:val="00134210"/>
    <w:rsid w:val="0013522C"/>
    <w:rsid w:val="0013552B"/>
    <w:rsid w:val="00136509"/>
    <w:rsid w:val="00141032"/>
    <w:rsid w:val="0014103F"/>
    <w:rsid w:val="0014179E"/>
    <w:rsid w:val="001423EB"/>
    <w:rsid w:val="00142406"/>
    <w:rsid w:val="00142D62"/>
    <w:rsid w:val="00142DC8"/>
    <w:rsid w:val="00143368"/>
    <w:rsid w:val="00143666"/>
    <w:rsid w:val="001442DC"/>
    <w:rsid w:val="00144C7A"/>
    <w:rsid w:val="001459E2"/>
    <w:rsid w:val="001467D3"/>
    <w:rsid w:val="00146C09"/>
    <w:rsid w:val="0015006E"/>
    <w:rsid w:val="0015028E"/>
    <w:rsid w:val="00150D52"/>
    <w:rsid w:val="00150E9F"/>
    <w:rsid w:val="001512A2"/>
    <w:rsid w:val="001515C9"/>
    <w:rsid w:val="00151647"/>
    <w:rsid w:val="001517CE"/>
    <w:rsid w:val="00152C28"/>
    <w:rsid w:val="00152E14"/>
    <w:rsid w:val="00154F48"/>
    <w:rsid w:val="00155F90"/>
    <w:rsid w:val="001560FF"/>
    <w:rsid w:val="00156C94"/>
    <w:rsid w:val="001601E6"/>
    <w:rsid w:val="001609F5"/>
    <w:rsid w:val="00160B82"/>
    <w:rsid w:val="0016169A"/>
    <w:rsid w:val="00162F66"/>
    <w:rsid w:val="00164D43"/>
    <w:rsid w:val="0016510F"/>
    <w:rsid w:val="001651E0"/>
    <w:rsid w:val="001653CE"/>
    <w:rsid w:val="00165EB8"/>
    <w:rsid w:val="00166DFC"/>
    <w:rsid w:val="00167C8E"/>
    <w:rsid w:val="0017004C"/>
    <w:rsid w:val="001705F6"/>
    <w:rsid w:val="00170DFA"/>
    <w:rsid w:val="0017274B"/>
    <w:rsid w:val="001736D6"/>
    <w:rsid w:val="001751D2"/>
    <w:rsid w:val="00175EBD"/>
    <w:rsid w:val="00176BD6"/>
    <w:rsid w:val="00176EB0"/>
    <w:rsid w:val="00177E8E"/>
    <w:rsid w:val="00180BB2"/>
    <w:rsid w:val="00181696"/>
    <w:rsid w:val="00181882"/>
    <w:rsid w:val="00181EE7"/>
    <w:rsid w:val="001821CF"/>
    <w:rsid w:val="0018235D"/>
    <w:rsid w:val="00183377"/>
    <w:rsid w:val="0018383D"/>
    <w:rsid w:val="001838DB"/>
    <w:rsid w:val="0018423F"/>
    <w:rsid w:val="001843B7"/>
    <w:rsid w:val="001843E3"/>
    <w:rsid w:val="00184CB6"/>
    <w:rsid w:val="00186E9A"/>
    <w:rsid w:val="00187310"/>
    <w:rsid w:val="0018733D"/>
    <w:rsid w:val="00190F22"/>
    <w:rsid w:val="001914BC"/>
    <w:rsid w:val="00191757"/>
    <w:rsid w:val="001920A9"/>
    <w:rsid w:val="001929C6"/>
    <w:rsid w:val="00192CFF"/>
    <w:rsid w:val="00193353"/>
    <w:rsid w:val="00194802"/>
    <w:rsid w:val="001951A3"/>
    <w:rsid w:val="00196138"/>
    <w:rsid w:val="001962B4"/>
    <w:rsid w:val="001969A9"/>
    <w:rsid w:val="00196AA2"/>
    <w:rsid w:val="00197214"/>
    <w:rsid w:val="00197318"/>
    <w:rsid w:val="001977FD"/>
    <w:rsid w:val="001A0B5E"/>
    <w:rsid w:val="001A1304"/>
    <w:rsid w:val="001A1535"/>
    <w:rsid w:val="001A2322"/>
    <w:rsid w:val="001A258E"/>
    <w:rsid w:val="001A28FE"/>
    <w:rsid w:val="001A2F74"/>
    <w:rsid w:val="001A2FA2"/>
    <w:rsid w:val="001A3415"/>
    <w:rsid w:val="001A38DA"/>
    <w:rsid w:val="001A3F79"/>
    <w:rsid w:val="001A3FB5"/>
    <w:rsid w:val="001A4A9E"/>
    <w:rsid w:val="001A58F4"/>
    <w:rsid w:val="001A72B5"/>
    <w:rsid w:val="001A79EB"/>
    <w:rsid w:val="001A79F2"/>
    <w:rsid w:val="001A7FC6"/>
    <w:rsid w:val="001B0377"/>
    <w:rsid w:val="001B0378"/>
    <w:rsid w:val="001B137D"/>
    <w:rsid w:val="001B2AD6"/>
    <w:rsid w:val="001B3E68"/>
    <w:rsid w:val="001B431C"/>
    <w:rsid w:val="001B4E0C"/>
    <w:rsid w:val="001B5095"/>
    <w:rsid w:val="001B51F1"/>
    <w:rsid w:val="001B544A"/>
    <w:rsid w:val="001B54C0"/>
    <w:rsid w:val="001B6274"/>
    <w:rsid w:val="001B78B6"/>
    <w:rsid w:val="001C06C4"/>
    <w:rsid w:val="001C09FE"/>
    <w:rsid w:val="001C0B8E"/>
    <w:rsid w:val="001C1196"/>
    <w:rsid w:val="001C13BF"/>
    <w:rsid w:val="001C1549"/>
    <w:rsid w:val="001C1F88"/>
    <w:rsid w:val="001C1FB3"/>
    <w:rsid w:val="001C22AA"/>
    <w:rsid w:val="001C2443"/>
    <w:rsid w:val="001C5841"/>
    <w:rsid w:val="001C5A81"/>
    <w:rsid w:val="001C5E43"/>
    <w:rsid w:val="001C732E"/>
    <w:rsid w:val="001C76D9"/>
    <w:rsid w:val="001D0953"/>
    <w:rsid w:val="001D1A08"/>
    <w:rsid w:val="001D2702"/>
    <w:rsid w:val="001D2A03"/>
    <w:rsid w:val="001D2B08"/>
    <w:rsid w:val="001D2C78"/>
    <w:rsid w:val="001D2E2A"/>
    <w:rsid w:val="001D3091"/>
    <w:rsid w:val="001D4352"/>
    <w:rsid w:val="001D46F3"/>
    <w:rsid w:val="001D4DDC"/>
    <w:rsid w:val="001D5892"/>
    <w:rsid w:val="001D58DD"/>
    <w:rsid w:val="001D6071"/>
    <w:rsid w:val="001D60E1"/>
    <w:rsid w:val="001D61CE"/>
    <w:rsid w:val="001D61D6"/>
    <w:rsid w:val="001D703F"/>
    <w:rsid w:val="001D7897"/>
    <w:rsid w:val="001D7FB7"/>
    <w:rsid w:val="001E0892"/>
    <w:rsid w:val="001E0DA7"/>
    <w:rsid w:val="001E2552"/>
    <w:rsid w:val="001E2663"/>
    <w:rsid w:val="001E291B"/>
    <w:rsid w:val="001E2B73"/>
    <w:rsid w:val="001E348C"/>
    <w:rsid w:val="001E3635"/>
    <w:rsid w:val="001E4176"/>
    <w:rsid w:val="001E4A6A"/>
    <w:rsid w:val="001E4CC5"/>
    <w:rsid w:val="001E600C"/>
    <w:rsid w:val="001E6A14"/>
    <w:rsid w:val="001E77A1"/>
    <w:rsid w:val="001F03FA"/>
    <w:rsid w:val="001F0F42"/>
    <w:rsid w:val="001F1106"/>
    <w:rsid w:val="001F1EA6"/>
    <w:rsid w:val="001F1F57"/>
    <w:rsid w:val="001F270D"/>
    <w:rsid w:val="001F2A6A"/>
    <w:rsid w:val="001F2AA8"/>
    <w:rsid w:val="001F3886"/>
    <w:rsid w:val="001F4E75"/>
    <w:rsid w:val="001F5285"/>
    <w:rsid w:val="001F5A52"/>
    <w:rsid w:val="001F62E4"/>
    <w:rsid w:val="001F67A0"/>
    <w:rsid w:val="001F6C37"/>
    <w:rsid w:val="001F77AD"/>
    <w:rsid w:val="001F7E85"/>
    <w:rsid w:val="00200485"/>
    <w:rsid w:val="00201E39"/>
    <w:rsid w:val="0020253E"/>
    <w:rsid w:val="00202F72"/>
    <w:rsid w:val="00203774"/>
    <w:rsid w:val="00203E18"/>
    <w:rsid w:val="0020489E"/>
    <w:rsid w:val="002055D1"/>
    <w:rsid w:val="00206668"/>
    <w:rsid w:val="002069F5"/>
    <w:rsid w:val="00206A3A"/>
    <w:rsid w:val="00210BE9"/>
    <w:rsid w:val="00211793"/>
    <w:rsid w:val="00211F99"/>
    <w:rsid w:val="002135D3"/>
    <w:rsid w:val="00213FAC"/>
    <w:rsid w:val="002149C1"/>
    <w:rsid w:val="00214B4F"/>
    <w:rsid w:val="00215883"/>
    <w:rsid w:val="00215CE8"/>
    <w:rsid w:val="00216086"/>
    <w:rsid w:val="00216740"/>
    <w:rsid w:val="0021686D"/>
    <w:rsid w:val="00217163"/>
    <w:rsid w:val="00217DC9"/>
    <w:rsid w:val="0022081A"/>
    <w:rsid w:val="00220C1A"/>
    <w:rsid w:val="00222E3C"/>
    <w:rsid w:val="0022356A"/>
    <w:rsid w:val="00224E86"/>
    <w:rsid w:val="00225081"/>
    <w:rsid w:val="0022551B"/>
    <w:rsid w:val="002258D8"/>
    <w:rsid w:val="002262EC"/>
    <w:rsid w:val="002268C7"/>
    <w:rsid w:val="002271FA"/>
    <w:rsid w:val="00227DDF"/>
    <w:rsid w:val="0023077E"/>
    <w:rsid w:val="00230D5E"/>
    <w:rsid w:val="00230E77"/>
    <w:rsid w:val="00232C1A"/>
    <w:rsid w:val="00232D91"/>
    <w:rsid w:val="00232E27"/>
    <w:rsid w:val="0023357A"/>
    <w:rsid w:val="00233601"/>
    <w:rsid w:val="002337F8"/>
    <w:rsid w:val="00234323"/>
    <w:rsid w:val="00234716"/>
    <w:rsid w:val="00234AA8"/>
    <w:rsid w:val="00234FFA"/>
    <w:rsid w:val="002368BD"/>
    <w:rsid w:val="00236A65"/>
    <w:rsid w:val="00236ECE"/>
    <w:rsid w:val="0023730C"/>
    <w:rsid w:val="0023737C"/>
    <w:rsid w:val="00237B55"/>
    <w:rsid w:val="002418FC"/>
    <w:rsid w:val="00242315"/>
    <w:rsid w:val="00242CE2"/>
    <w:rsid w:val="002433BC"/>
    <w:rsid w:val="00243F06"/>
    <w:rsid w:val="00244646"/>
    <w:rsid w:val="00244831"/>
    <w:rsid w:val="002448EE"/>
    <w:rsid w:val="0024500D"/>
    <w:rsid w:val="00245181"/>
    <w:rsid w:val="002461DD"/>
    <w:rsid w:val="002468AE"/>
    <w:rsid w:val="00247615"/>
    <w:rsid w:val="002476A7"/>
    <w:rsid w:val="00250710"/>
    <w:rsid w:val="00251071"/>
    <w:rsid w:val="00251167"/>
    <w:rsid w:val="0025209C"/>
    <w:rsid w:val="00253CC4"/>
    <w:rsid w:val="0025655F"/>
    <w:rsid w:val="00256A49"/>
    <w:rsid w:val="00256BA2"/>
    <w:rsid w:val="00256C23"/>
    <w:rsid w:val="00256F23"/>
    <w:rsid w:val="00257189"/>
    <w:rsid w:val="002572A2"/>
    <w:rsid w:val="00257B5E"/>
    <w:rsid w:val="00260905"/>
    <w:rsid w:val="00261568"/>
    <w:rsid w:val="00263BB9"/>
    <w:rsid w:val="0026478B"/>
    <w:rsid w:val="0026638C"/>
    <w:rsid w:val="002665AB"/>
    <w:rsid w:val="002708BB"/>
    <w:rsid w:val="00270B22"/>
    <w:rsid w:val="00270C47"/>
    <w:rsid w:val="002720D7"/>
    <w:rsid w:val="00272DDE"/>
    <w:rsid w:val="00273377"/>
    <w:rsid w:val="002734DE"/>
    <w:rsid w:val="00273B3D"/>
    <w:rsid w:val="00273BA1"/>
    <w:rsid w:val="002740B8"/>
    <w:rsid w:val="00274398"/>
    <w:rsid w:val="0027473B"/>
    <w:rsid w:val="00274F5E"/>
    <w:rsid w:val="002755B7"/>
    <w:rsid w:val="00276181"/>
    <w:rsid w:val="0027633D"/>
    <w:rsid w:val="002766DF"/>
    <w:rsid w:val="00277323"/>
    <w:rsid w:val="00277AA2"/>
    <w:rsid w:val="00277E25"/>
    <w:rsid w:val="002803AB"/>
    <w:rsid w:val="0028053E"/>
    <w:rsid w:val="00280BC3"/>
    <w:rsid w:val="00281331"/>
    <w:rsid w:val="00281B6F"/>
    <w:rsid w:val="002820AB"/>
    <w:rsid w:val="0028239A"/>
    <w:rsid w:val="00282539"/>
    <w:rsid w:val="00282B74"/>
    <w:rsid w:val="0028323A"/>
    <w:rsid w:val="00283F15"/>
    <w:rsid w:val="002847F8"/>
    <w:rsid w:val="00285E63"/>
    <w:rsid w:val="00286300"/>
    <w:rsid w:val="00286335"/>
    <w:rsid w:val="00286DF3"/>
    <w:rsid w:val="002903DC"/>
    <w:rsid w:val="00290AF7"/>
    <w:rsid w:val="00293008"/>
    <w:rsid w:val="002939E9"/>
    <w:rsid w:val="00294080"/>
    <w:rsid w:val="0029459A"/>
    <w:rsid w:val="0029488E"/>
    <w:rsid w:val="00295503"/>
    <w:rsid w:val="0029554E"/>
    <w:rsid w:val="002955B7"/>
    <w:rsid w:val="0029570C"/>
    <w:rsid w:val="002966AD"/>
    <w:rsid w:val="0029671E"/>
    <w:rsid w:val="00296753"/>
    <w:rsid w:val="002A03E2"/>
    <w:rsid w:val="002A085F"/>
    <w:rsid w:val="002A0B78"/>
    <w:rsid w:val="002A0F5D"/>
    <w:rsid w:val="002A1032"/>
    <w:rsid w:val="002A12F4"/>
    <w:rsid w:val="002A1547"/>
    <w:rsid w:val="002A1684"/>
    <w:rsid w:val="002A1E38"/>
    <w:rsid w:val="002A3A40"/>
    <w:rsid w:val="002A57DE"/>
    <w:rsid w:val="002A5953"/>
    <w:rsid w:val="002A5BC5"/>
    <w:rsid w:val="002A68AD"/>
    <w:rsid w:val="002A6C49"/>
    <w:rsid w:val="002A6F94"/>
    <w:rsid w:val="002A6FC8"/>
    <w:rsid w:val="002A7748"/>
    <w:rsid w:val="002A7D90"/>
    <w:rsid w:val="002B030B"/>
    <w:rsid w:val="002B0B45"/>
    <w:rsid w:val="002B24B7"/>
    <w:rsid w:val="002B2D94"/>
    <w:rsid w:val="002B4017"/>
    <w:rsid w:val="002B50EA"/>
    <w:rsid w:val="002B5667"/>
    <w:rsid w:val="002B57BF"/>
    <w:rsid w:val="002B657D"/>
    <w:rsid w:val="002B65BD"/>
    <w:rsid w:val="002B6FEB"/>
    <w:rsid w:val="002C0964"/>
    <w:rsid w:val="002C0B42"/>
    <w:rsid w:val="002C1674"/>
    <w:rsid w:val="002C2069"/>
    <w:rsid w:val="002C3681"/>
    <w:rsid w:val="002C3827"/>
    <w:rsid w:val="002C383F"/>
    <w:rsid w:val="002C4092"/>
    <w:rsid w:val="002C41B4"/>
    <w:rsid w:val="002C4478"/>
    <w:rsid w:val="002C6272"/>
    <w:rsid w:val="002D0281"/>
    <w:rsid w:val="002D0E4C"/>
    <w:rsid w:val="002D34A9"/>
    <w:rsid w:val="002D390A"/>
    <w:rsid w:val="002D465B"/>
    <w:rsid w:val="002D60C1"/>
    <w:rsid w:val="002D6FE0"/>
    <w:rsid w:val="002D7365"/>
    <w:rsid w:val="002D7489"/>
    <w:rsid w:val="002D7690"/>
    <w:rsid w:val="002E04F1"/>
    <w:rsid w:val="002E13A9"/>
    <w:rsid w:val="002E3734"/>
    <w:rsid w:val="002E3839"/>
    <w:rsid w:val="002E3845"/>
    <w:rsid w:val="002E3ED0"/>
    <w:rsid w:val="002E572C"/>
    <w:rsid w:val="002E58E0"/>
    <w:rsid w:val="002E597F"/>
    <w:rsid w:val="002E678D"/>
    <w:rsid w:val="002F04A6"/>
    <w:rsid w:val="002F0A56"/>
    <w:rsid w:val="002F0EA6"/>
    <w:rsid w:val="002F1DBD"/>
    <w:rsid w:val="002F22D6"/>
    <w:rsid w:val="002F26F1"/>
    <w:rsid w:val="002F2FEC"/>
    <w:rsid w:val="002F33B9"/>
    <w:rsid w:val="002F3460"/>
    <w:rsid w:val="002F4A92"/>
    <w:rsid w:val="002F63E0"/>
    <w:rsid w:val="002F64B3"/>
    <w:rsid w:val="002F780E"/>
    <w:rsid w:val="002F7850"/>
    <w:rsid w:val="0030148C"/>
    <w:rsid w:val="00301522"/>
    <w:rsid w:val="0030159D"/>
    <w:rsid w:val="00301CE9"/>
    <w:rsid w:val="00303439"/>
    <w:rsid w:val="0030370F"/>
    <w:rsid w:val="00303E96"/>
    <w:rsid w:val="003058B5"/>
    <w:rsid w:val="00305FBA"/>
    <w:rsid w:val="00306111"/>
    <w:rsid w:val="003068A4"/>
    <w:rsid w:val="003103FD"/>
    <w:rsid w:val="00310633"/>
    <w:rsid w:val="0031087C"/>
    <w:rsid w:val="00310C53"/>
    <w:rsid w:val="00310F6A"/>
    <w:rsid w:val="00311BC8"/>
    <w:rsid w:val="003137DE"/>
    <w:rsid w:val="0031419C"/>
    <w:rsid w:val="003147BC"/>
    <w:rsid w:val="00314C96"/>
    <w:rsid w:val="003154E9"/>
    <w:rsid w:val="00315CA4"/>
    <w:rsid w:val="00315D27"/>
    <w:rsid w:val="00315F73"/>
    <w:rsid w:val="003166E1"/>
    <w:rsid w:val="003168DF"/>
    <w:rsid w:val="00316B7D"/>
    <w:rsid w:val="00316C59"/>
    <w:rsid w:val="00317529"/>
    <w:rsid w:val="003176FF"/>
    <w:rsid w:val="003200CC"/>
    <w:rsid w:val="003205D1"/>
    <w:rsid w:val="00320B57"/>
    <w:rsid w:val="00320D13"/>
    <w:rsid w:val="0032195E"/>
    <w:rsid w:val="00321B91"/>
    <w:rsid w:val="00321DC6"/>
    <w:rsid w:val="003222C4"/>
    <w:rsid w:val="003223C7"/>
    <w:rsid w:val="003225DB"/>
    <w:rsid w:val="003227D5"/>
    <w:rsid w:val="00322F6B"/>
    <w:rsid w:val="00323901"/>
    <w:rsid w:val="00324A18"/>
    <w:rsid w:val="00325C5B"/>
    <w:rsid w:val="00326484"/>
    <w:rsid w:val="003267B8"/>
    <w:rsid w:val="00326C58"/>
    <w:rsid w:val="0032797B"/>
    <w:rsid w:val="00330C1E"/>
    <w:rsid w:val="00330EBD"/>
    <w:rsid w:val="00331B49"/>
    <w:rsid w:val="00331FF6"/>
    <w:rsid w:val="0033218B"/>
    <w:rsid w:val="0033428D"/>
    <w:rsid w:val="003347FD"/>
    <w:rsid w:val="00335313"/>
    <w:rsid w:val="00335830"/>
    <w:rsid w:val="00335B70"/>
    <w:rsid w:val="003407BF"/>
    <w:rsid w:val="00340FCD"/>
    <w:rsid w:val="00341C3C"/>
    <w:rsid w:val="0034257C"/>
    <w:rsid w:val="00342AF0"/>
    <w:rsid w:val="003430E4"/>
    <w:rsid w:val="00343AA4"/>
    <w:rsid w:val="00344015"/>
    <w:rsid w:val="00344102"/>
    <w:rsid w:val="003446E5"/>
    <w:rsid w:val="0034488C"/>
    <w:rsid w:val="0034560F"/>
    <w:rsid w:val="00346703"/>
    <w:rsid w:val="00347716"/>
    <w:rsid w:val="00347A4F"/>
    <w:rsid w:val="00350CC2"/>
    <w:rsid w:val="00351EBC"/>
    <w:rsid w:val="00352383"/>
    <w:rsid w:val="00352612"/>
    <w:rsid w:val="003538BF"/>
    <w:rsid w:val="00353CCE"/>
    <w:rsid w:val="00354731"/>
    <w:rsid w:val="00354AFA"/>
    <w:rsid w:val="00354C20"/>
    <w:rsid w:val="0035557A"/>
    <w:rsid w:val="0035558A"/>
    <w:rsid w:val="00355F3D"/>
    <w:rsid w:val="003560A6"/>
    <w:rsid w:val="003573FA"/>
    <w:rsid w:val="00357940"/>
    <w:rsid w:val="00360025"/>
    <w:rsid w:val="003600EE"/>
    <w:rsid w:val="00360C5C"/>
    <w:rsid w:val="003618BF"/>
    <w:rsid w:val="00362157"/>
    <w:rsid w:val="0036317D"/>
    <w:rsid w:val="00363C09"/>
    <w:rsid w:val="003642D4"/>
    <w:rsid w:val="0036430F"/>
    <w:rsid w:val="00365066"/>
    <w:rsid w:val="003652BA"/>
    <w:rsid w:val="00366827"/>
    <w:rsid w:val="00366AC5"/>
    <w:rsid w:val="00366B1E"/>
    <w:rsid w:val="003679F9"/>
    <w:rsid w:val="00371559"/>
    <w:rsid w:val="00371CDF"/>
    <w:rsid w:val="00371CF3"/>
    <w:rsid w:val="00372DDE"/>
    <w:rsid w:val="00373040"/>
    <w:rsid w:val="00373183"/>
    <w:rsid w:val="00373AE0"/>
    <w:rsid w:val="003744C6"/>
    <w:rsid w:val="00374A98"/>
    <w:rsid w:val="00374B86"/>
    <w:rsid w:val="003753C7"/>
    <w:rsid w:val="00377E6B"/>
    <w:rsid w:val="00381B0B"/>
    <w:rsid w:val="003823B5"/>
    <w:rsid w:val="00383FAB"/>
    <w:rsid w:val="00384741"/>
    <w:rsid w:val="003854FB"/>
    <w:rsid w:val="0038563D"/>
    <w:rsid w:val="00385870"/>
    <w:rsid w:val="0038671D"/>
    <w:rsid w:val="003868C5"/>
    <w:rsid w:val="00386A71"/>
    <w:rsid w:val="00386C30"/>
    <w:rsid w:val="003873A3"/>
    <w:rsid w:val="003878DE"/>
    <w:rsid w:val="00390AC6"/>
    <w:rsid w:val="003915F0"/>
    <w:rsid w:val="00391EBD"/>
    <w:rsid w:val="003926B1"/>
    <w:rsid w:val="00392CA3"/>
    <w:rsid w:val="00392DCD"/>
    <w:rsid w:val="00393BB4"/>
    <w:rsid w:val="00393FD8"/>
    <w:rsid w:val="0039416B"/>
    <w:rsid w:val="00394C6F"/>
    <w:rsid w:val="003958A6"/>
    <w:rsid w:val="00396768"/>
    <w:rsid w:val="0039687F"/>
    <w:rsid w:val="00396DEB"/>
    <w:rsid w:val="0039758D"/>
    <w:rsid w:val="003A040F"/>
    <w:rsid w:val="003A1189"/>
    <w:rsid w:val="003A267A"/>
    <w:rsid w:val="003A291B"/>
    <w:rsid w:val="003A3000"/>
    <w:rsid w:val="003A417B"/>
    <w:rsid w:val="003A5260"/>
    <w:rsid w:val="003A5A8D"/>
    <w:rsid w:val="003A5F19"/>
    <w:rsid w:val="003A5FAD"/>
    <w:rsid w:val="003A69EF"/>
    <w:rsid w:val="003A6DC0"/>
    <w:rsid w:val="003A71F2"/>
    <w:rsid w:val="003A7609"/>
    <w:rsid w:val="003B055B"/>
    <w:rsid w:val="003B05C5"/>
    <w:rsid w:val="003B18CA"/>
    <w:rsid w:val="003B2C77"/>
    <w:rsid w:val="003B36EE"/>
    <w:rsid w:val="003B390E"/>
    <w:rsid w:val="003B39D9"/>
    <w:rsid w:val="003B3BAA"/>
    <w:rsid w:val="003B4906"/>
    <w:rsid w:val="003B558D"/>
    <w:rsid w:val="003B5753"/>
    <w:rsid w:val="003B642E"/>
    <w:rsid w:val="003B66A4"/>
    <w:rsid w:val="003B66F1"/>
    <w:rsid w:val="003B6E15"/>
    <w:rsid w:val="003B7033"/>
    <w:rsid w:val="003B7B7F"/>
    <w:rsid w:val="003B7E30"/>
    <w:rsid w:val="003B7E70"/>
    <w:rsid w:val="003C0CF8"/>
    <w:rsid w:val="003C1EC3"/>
    <w:rsid w:val="003C22A9"/>
    <w:rsid w:val="003C2B25"/>
    <w:rsid w:val="003C35AA"/>
    <w:rsid w:val="003C389E"/>
    <w:rsid w:val="003C3E40"/>
    <w:rsid w:val="003C486C"/>
    <w:rsid w:val="003C56A7"/>
    <w:rsid w:val="003C5D17"/>
    <w:rsid w:val="003C6237"/>
    <w:rsid w:val="003C6B4E"/>
    <w:rsid w:val="003D0599"/>
    <w:rsid w:val="003D191B"/>
    <w:rsid w:val="003D1D02"/>
    <w:rsid w:val="003D210C"/>
    <w:rsid w:val="003D2D2B"/>
    <w:rsid w:val="003D367C"/>
    <w:rsid w:val="003D37EF"/>
    <w:rsid w:val="003D3A3A"/>
    <w:rsid w:val="003D3DD8"/>
    <w:rsid w:val="003D4C1E"/>
    <w:rsid w:val="003D7255"/>
    <w:rsid w:val="003D72B2"/>
    <w:rsid w:val="003E0C18"/>
    <w:rsid w:val="003E0D0C"/>
    <w:rsid w:val="003E1809"/>
    <w:rsid w:val="003E22D9"/>
    <w:rsid w:val="003E2409"/>
    <w:rsid w:val="003E251A"/>
    <w:rsid w:val="003E31A7"/>
    <w:rsid w:val="003E370F"/>
    <w:rsid w:val="003E3EB5"/>
    <w:rsid w:val="003E4F52"/>
    <w:rsid w:val="003E5EA2"/>
    <w:rsid w:val="003E6386"/>
    <w:rsid w:val="003F0105"/>
    <w:rsid w:val="003F0218"/>
    <w:rsid w:val="003F03C4"/>
    <w:rsid w:val="003F06F5"/>
    <w:rsid w:val="003F0EBB"/>
    <w:rsid w:val="003F15DB"/>
    <w:rsid w:val="003F19C8"/>
    <w:rsid w:val="003F1B8B"/>
    <w:rsid w:val="003F1F9C"/>
    <w:rsid w:val="003F2070"/>
    <w:rsid w:val="003F44DA"/>
    <w:rsid w:val="003F502A"/>
    <w:rsid w:val="003F560A"/>
    <w:rsid w:val="003F64B7"/>
    <w:rsid w:val="003F7B89"/>
    <w:rsid w:val="003F7F74"/>
    <w:rsid w:val="00400380"/>
    <w:rsid w:val="004007A8"/>
    <w:rsid w:val="00400DF1"/>
    <w:rsid w:val="00400F6F"/>
    <w:rsid w:val="00401040"/>
    <w:rsid w:val="0040108E"/>
    <w:rsid w:val="00401E4D"/>
    <w:rsid w:val="00402DC9"/>
    <w:rsid w:val="004031F5"/>
    <w:rsid w:val="004037BC"/>
    <w:rsid w:val="00404585"/>
    <w:rsid w:val="004046A0"/>
    <w:rsid w:val="00404F0D"/>
    <w:rsid w:val="00405B22"/>
    <w:rsid w:val="00405CE8"/>
    <w:rsid w:val="004070F6"/>
    <w:rsid w:val="00410184"/>
    <w:rsid w:val="004120A9"/>
    <w:rsid w:val="00412419"/>
    <w:rsid w:val="0041285B"/>
    <w:rsid w:val="004132F8"/>
    <w:rsid w:val="004135EC"/>
    <w:rsid w:val="00413E59"/>
    <w:rsid w:val="00413F21"/>
    <w:rsid w:val="0041451E"/>
    <w:rsid w:val="00415242"/>
    <w:rsid w:val="00415D95"/>
    <w:rsid w:val="0041600E"/>
    <w:rsid w:val="004170BD"/>
    <w:rsid w:val="00420D8E"/>
    <w:rsid w:val="00421245"/>
    <w:rsid w:val="004217F2"/>
    <w:rsid w:val="00422344"/>
    <w:rsid w:val="00422839"/>
    <w:rsid w:val="00422D2C"/>
    <w:rsid w:val="004246E2"/>
    <w:rsid w:val="00426016"/>
    <w:rsid w:val="0042640F"/>
    <w:rsid w:val="00426F69"/>
    <w:rsid w:val="004277C9"/>
    <w:rsid w:val="00427C5B"/>
    <w:rsid w:val="00430C37"/>
    <w:rsid w:val="004311A6"/>
    <w:rsid w:val="004313E4"/>
    <w:rsid w:val="0043207F"/>
    <w:rsid w:val="004341CE"/>
    <w:rsid w:val="0043425E"/>
    <w:rsid w:val="004352C6"/>
    <w:rsid w:val="00436B37"/>
    <w:rsid w:val="00436F32"/>
    <w:rsid w:val="00437E73"/>
    <w:rsid w:val="0044012E"/>
    <w:rsid w:val="004404C9"/>
    <w:rsid w:val="0044092A"/>
    <w:rsid w:val="0044192D"/>
    <w:rsid w:val="00442813"/>
    <w:rsid w:val="00445A6C"/>
    <w:rsid w:val="00445DF0"/>
    <w:rsid w:val="00445FB0"/>
    <w:rsid w:val="00446AF8"/>
    <w:rsid w:val="00447042"/>
    <w:rsid w:val="004474BB"/>
    <w:rsid w:val="00447699"/>
    <w:rsid w:val="00447D67"/>
    <w:rsid w:val="004514B9"/>
    <w:rsid w:val="004517E7"/>
    <w:rsid w:val="004518BA"/>
    <w:rsid w:val="00451FFC"/>
    <w:rsid w:val="00452299"/>
    <w:rsid w:val="00452758"/>
    <w:rsid w:val="004528D9"/>
    <w:rsid w:val="00452C9D"/>
    <w:rsid w:val="00452CC7"/>
    <w:rsid w:val="00452CF6"/>
    <w:rsid w:val="004535B5"/>
    <w:rsid w:val="004536F4"/>
    <w:rsid w:val="0045371C"/>
    <w:rsid w:val="00455294"/>
    <w:rsid w:val="00455793"/>
    <w:rsid w:val="00456B3F"/>
    <w:rsid w:val="004600A2"/>
    <w:rsid w:val="004620D4"/>
    <w:rsid w:val="004622B0"/>
    <w:rsid w:val="00463DD6"/>
    <w:rsid w:val="0046422B"/>
    <w:rsid w:val="00465696"/>
    <w:rsid w:val="004669D2"/>
    <w:rsid w:val="00467B05"/>
    <w:rsid w:val="00470431"/>
    <w:rsid w:val="0047169D"/>
    <w:rsid w:val="00471AD7"/>
    <w:rsid w:val="00473CBE"/>
    <w:rsid w:val="00474494"/>
    <w:rsid w:val="00474D0B"/>
    <w:rsid w:val="00474EB5"/>
    <w:rsid w:val="0047599D"/>
    <w:rsid w:val="00476043"/>
    <w:rsid w:val="00476753"/>
    <w:rsid w:val="00476B1B"/>
    <w:rsid w:val="004771E3"/>
    <w:rsid w:val="00477AD6"/>
    <w:rsid w:val="00477BBD"/>
    <w:rsid w:val="004815E9"/>
    <w:rsid w:val="00481C92"/>
    <w:rsid w:val="00482BA6"/>
    <w:rsid w:val="00482EBB"/>
    <w:rsid w:val="00484342"/>
    <w:rsid w:val="00484E8E"/>
    <w:rsid w:val="004851A6"/>
    <w:rsid w:val="00485431"/>
    <w:rsid w:val="00485984"/>
    <w:rsid w:val="00486D17"/>
    <w:rsid w:val="00486D38"/>
    <w:rsid w:val="004876F6"/>
    <w:rsid w:val="00487B45"/>
    <w:rsid w:val="0049159F"/>
    <w:rsid w:val="00492312"/>
    <w:rsid w:val="0049249F"/>
    <w:rsid w:val="004926C3"/>
    <w:rsid w:val="00492C46"/>
    <w:rsid w:val="0049393F"/>
    <w:rsid w:val="00493CB0"/>
    <w:rsid w:val="00493F7F"/>
    <w:rsid w:val="00494024"/>
    <w:rsid w:val="00495467"/>
    <w:rsid w:val="00495513"/>
    <w:rsid w:val="004976D1"/>
    <w:rsid w:val="00497AD8"/>
    <w:rsid w:val="00497D2D"/>
    <w:rsid w:val="004A08B8"/>
    <w:rsid w:val="004A108F"/>
    <w:rsid w:val="004A1871"/>
    <w:rsid w:val="004A2233"/>
    <w:rsid w:val="004A2B1F"/>
    <w:rsid w:val="004A3264"/>
    <w:rsid w:val="004A348F"/>
    <w:rsid w:val="004A38F0"/>
    <w:rsid w:val="004A4626"/>
    <w:rsid w:val="004A56B5"/>
    <w:rsid w:val="004A6D6D"/>
    <w:rsid w:val="004A77A1"/>
    <w:rsid w:val="004B0E50"/>
    <w:rsid w:val="004B21CF"/>
    <w:rsid w:val="004B2B4F"/>
    <w:rsid w:val="004B32CF"/>
    <w:rsid w:val="004B34CF"/>
    <w:rsid w:val="004B397A"/>
    <w:rsid w:val="004B39BC"/>
    <w:rsid w:val="004B4918"/>
    <w:rsid w:val="004B63A9"/>
    <w:rsid w:val="004B6538"/>
    <w:rsid w:val="004B6788"/>
    <w:rsid w:val="004B7983"/>
    <w:rsid w:val="004B7A15"/>
    <w:rsid w:val="004B7FE5"/>
    <w:rsid w:val="004C1848"/>
    <w:rsid w:val="004C1D18"/>
    <w:rsid w:val="004C2BF0"/>
    <w:rsid w:val="004C3CE1"/>
    <w:rsid w:val="004C3D6E"/>
    <w:rsid w:val="004C4127"/>
    <w:rsid w:val="004C44C9"/>
    <w:rsid w:val="004C4CA8"/>
    <w:rsid w:val="004C5480"/>
    <w:rsid w:val="004C5AC9"/>
    <w:rsid w:val="004C5D1D"/>
    <w:rsid w:val="004D0208"/>
    <w:rsid w:val="004D0D17"/>
    <w:rsid w:val="004D1386"/>
    <w:rsid w:val="004D1395"/>
    <w:rsid w:val="004D22BB"/>
    <w:rsid w:val="004D3D11"/>
    <w:rsid w:val="004D623A"/>
    <w:rsid w:val="004D6612"/>
    <w:rsid w:val="004D6D0B"/>
    <w:rsid w:val="004D79ED"/>
    <w:rsid w:val="004E04E2"/>
    <w:rsid w:val="004E10CD"/>
    <w:rsid w:val="004E1A8B"/>
    <w:rsid w:val="004E1E8A"/>
    <w:rsid w:val="004E2155"/>
    <w:rsid w:val="004E334E"/>
    <w:rsid w:val="004E57B9"/>
    <w:rsid w:val="004E61EC"/>
    <w:rsid w:val="004E63E2"/>
    <w:rsid w:val="004E65EB"/>
    <w:rsid w:val="004E7671"/>
    <w:rsid w:val="004E7EFA"/>
    <w:rsid w:val="004F03B1"/>
    <w:rsid w:val="004F0C19"/>
    <w:rsid w:val="004F0C70"/>
    <w:rsid w:val="004F103E"/>
    <w:rsid w:val="004F1C0C"/>
    <w:rsid w:val="004F20E5"/>
    <w:rsid w:val="004F3530"/>
    <w:rsid w:val="004F36D1"/>
    <w:rsid w:val="004F46CB"/>
    <w:rsid w:val="004F49B8"/>
    <w:rsid w:val="004F69EE"/>
    <w:rsid w:val="004F6C9F"/>
    <w:rsid w:val="005004AB"/>
    <w:rsid w:val="00500BD6"/>
    <w:rsid w:val="00500E7D"/>
    <w:rsid w:val="0050115F"/>
    <w:rsid w:val="0050191C"/>
    <w:rsid w:val="0050268A"/>
    <w:rsid w:val="00503752"/>
    <w:rsid w:val="00503F05"/>
    <w:rsid w:val="005051A4"/>
    <w:rsid w:val="00505852"/>
    <w:rsid w:val="0050663B"/>
    <w:rsid w:val="00507273"/>
    <w:rsid w:val="00507C79"/>
    <w:rsid w:val="0051051B"/>
    <w:rsid w:val="00510A70"/>
    <w:rsid w:val="00511617"/>
    <w:rsid w:val="00511E47"/>
    <w:rsid w:val="005120BA"/>
    <w:rsid w:val="005130A9"/>
    <w:rsid w:val="00513ABB"/>
    <w:rsid w:val="00513D17"/>
    <w:rsid w:val="00514038"/>
    <w:rsid w:val="00514600"/>
    <w:rsid w:val="0051652E"/>
    <w:rsid w:val="00516DA0"/>
    <w:rsid w:val="0051783C"/>
    <w:rsid w:val="00517DCA"/>
    <w:rsid w:val="005200FA"/>
    <w:rsid w:val="005207A1"/>
    <w:rsid w:val="00520CA8"/>
    <w:rsid w:val="00522AD0"/>
    <w:rsid w:val="00522CC6"/>
    <w:rsid w:val="00523219"/>
    <w:rsid w:val="00523ED3"/>
    <w:rsid w:val="00525052"/>
    <w:rsid w:val="005256C5"/>
    <w:rsid w:val="005259E3"/>
    <w:rsid w:val="00526076"/>
    <w:rsid w:val="00526770"/>
    <w:rsid w:val="00526F34"/>
    <w:rsid w:val="00527B68"/>
    <w:rsid w:val="00527E63"/>
    <w:rsid w:val="005322A3"/>
    <w:rsid w:val="005326A1"/>
    <w:rsid w:val="0053358F"/>
    <w:rsid w:val="00533DBD"/>
    <w:rsid w:val="00534D73"/>
    <w:rsid w:val="005356FF"/>
    <w:rsid w:val="00535B74"/>
    <w:rsid w:val="00535FC9"/>
    <w:rsid w:val="00536D92"/>
    <w:rsid w:val="005376F8"/>
    <w:rsid w:val="005379E5"/>
    <w:rsid w:val="00537CC8"/>
    <w:rsid w:val="00541A1C"/>
    <w:rsid w:val="00541D60"/>
    <w:rsid w:val="00543738"/>
    <w:rsid w:val="00543DDA"/>
    <w:rsid w:val="00544339"/>
    <w:rsid w:val="00545926"/>
    <w:rsid w:val="00546523"/>
    <w:rsid w:val="00547E01"/>
    <w:rsid w:val="0055137F"/>
    <w:rsid w:val="0055224F"/>
    <w:rsid w:val="005529F5"/>
    <w:rsid w:val="00552CC9"/>
    <w:rsid w:val="00553E2A"/>
    <w:rsid w:val="00554A84"/>
    <w:rsid w:val="005556BE"/>
    <w:rsid w:val="00555946"/>
    <w:rsid w:val="00556116"/>
    <w:rsid w:val="0055686C"/>
    <w:rsid w:val="00557218"/>
    <w:rsid w:val="005604D7"/>
    <w:rsid w:val="0056093A"/>
    <w:rsid w:val="00560F73"/>
    <w:rsid w:val="0056129A"/>
    <w:rsid w:val="00561476"/>
    <w:rsid w:val="00561C97"/>
    <w:rsid w:val="00561D9A"/>
    <w:rsid w:val="00563220"/>
    <w:rsid w:val="00563811"/>
    <w:rsid w:val="00563B8D"/>
    <w:rsid w:val="005640E0"/>
    <w:rsid w:val="00564129"/>
    <w:rsid w:val="00564226"/>
    <w:rsid w:val="005647E8"/>
    <w:rsid w:val="00564E29"/>
    <w:rsid w:val="00564F2B"/>
    <w:rsid w:val="00566C5C"/>
    <w:rsid w:val="005708ED"/>
    <w:rsid w:val="00570BBB"/>
    <w:rsid w:val="00571D50"/>
    <w:rsid w:val="00572A76"/>
    <w:rsid w:val="00572D63"/>
    <w:rsid w:val="005731BB"/>
    <w:rsid w:val="00574789"/>
    <w:rsid w:val="00574A56"/>
    <w:rsid w:val="005751E0"/>
    <w:rsid w:val="00576033"/>
    <w:rsid w:val="00576C31"/>
    <w:rsid w:val="005775A9"/>
    <w:rsid w:val="005777C2"/>
    <w:rsid w:val="00581532"/>
    <w:rsid w:val="005815A0"/>
    <w:rsid w:val="00581B73"/>
    <w:rsid w:val="00582BD0"/>
    <w:rsid w:val="0058305A"/>
    <w:rsid w:val="0058313C"/>
    <w:rsid w:val="00583E15"/>
    <w:rsid w:val="00584104"/>
    <w:rsid w:val="005844E2"/>
    <w:rsid w:val="0058510C"/>
    <w:rsid w:val="0058557F"/>
    <w:rsid w:val="00585888"/>
    <w:rsid w:val="00586627"/>
    <w:rsid w:val="0058709C"/>
    <w:rsid w:val="00590523"/>
    <w:rsid w:val="00590BA1"/>
    <w:rsid w:val="00590C9C"/>
    <w:rsid w:val="00590D00"/>
    <w:rsid w:val="005915B9"/>
    <w:rsid w:val="0059286D"/>
    <w:rsid w:val="00593331"/>
    <w:rsid w:val="00594014"/>
    <w:rsid w:val="005940B9"/>
    <w:rsid w:val="00594BCF"/>
    <w:rsid w:val="005957EA"/>
    <w:rsid w:val="0059656D"/>
    <w:rsid w:val="00597537"/>
    <w:rsid w:val="0059791C"/>
    <w:rsid w:val="00597C41"/>
    <w:rsid w:val="005A012F"/>
    <w:rsid w:val="005A0193"/>
    <w:rsid w:val="005A0F2F"/>
    <w:rsid w:val="005A0F44"/>
    <w:rsid w:val="005A109F"/>
    <w:rsid w:val="005A12E6"/>
    <w:rsid w:val="005A3813"/>
    <w:rsid w:val="005A4023"/>
    <w:rsid w:val="005A61EE"/>
    <w:rsid w:val="005A62AE"/>
    <w:rsid w:val="005A77FD"/>
    <w:rsid w:val="005A7969"/>
    <w:rsid w:val="005A7B27"/>
    <w:rsid w:val="005B05E9"/>
    <w:rsid w:val="005B07DA"/>
    <w:rsid w:val="005B1A2F"/>
    <w:rsid w:val="005B2053"/>
    <w:rsid w:val="005B20E1"/>
    <w:rsid w:val="005B340D"/>
    <w:rsid w:val="005B34ED"/>
    <w:rsid w:val="005B3AC9"/>
    <w:rsid w:val="005B57EF"/>
    <w:rsid w:val="005B65E1"/>
    <w:rsid w:val="005B67F9"/>
    <w:rsid w:val="005B731A"/>
    <w:rsid w:val="005B7486"/>
    <w:rsid w:val="005C0D00"/>
    <w:rsid w:val="005C1803"/>
    <w:rsid w:val="005C1F27"/>
    <w:rsid w:val="005C2751"/>
    <w:rsid w:val="005C293D"/>
    <w:rsid w:val="005C3CD0"/>
    <w:rsid w:val="005C4C72"/>
    <w:rsid w:val="005C5137"/>
    <w:rsid w:val="005C5377"/>
    <w:rsid w:val="005C547C"/>
    <w:rsid w:val="005C6DAC"/>
    <w:rsid w:val="005C73CF"/>
    <w:rsid w:val="005C7B12"/>
    <w:rsid w:val="005D00D5"/>
    <w:rsid w:val="005D0A84"/>
    <w:rsid w:val="005D0E8C"/>
    <w:rsid w:val="005D135A"/>
    <w:rsid w:val="005D1DD0"/>
    <w:rsid w:val="005D1F5B"/>
    <w:rsid w:val="005D3EF6"/>
    <w:rsid w:val="005D4886"/>
    <w:rsid w:val="005D4C6F"/>
    <w:rsid w:val="005D4DC5"/>
    <w:rsid w:val="005D4E1C"/>
    <w:rsid w:val="005D5533"/>
    <w:rsid w:val="005D6AB7"/>
    <w:rsid w:val="005D7BA5"/>
    <w:rsid w:val="005D7E66"/>
    <w:rsid w:val="005E0042"/>
    <w:rsid w:val="005E01B3"/>
    <w:rsid w:val="005E0220"/>
    <w:rsid w:val="005E20AC"/>
    <w:rsid w:val="005E2638"/>
    <w:rsid w:val="005E311D"/>
    <w:rsid w:val="005E45BB"/>
    <w:rsid w:val="005E46F8"/>
    <w:rsid w:val="005E4ECD"/>
    <w:rsid w:val="005E53DD"/>
    <w:rsid w:val="005E60EC"/>
    <w:rsid w:val="005E60FC"/>
    <w:rsid w:val="005E647B"/>
    <w:rsid w:val="005E6664"/>
    <w:rsid w:val="005E693E"/>
    <w:rsid w:val="005E69CA"/>
    <w:rsid w:val="005E6B7E"/>
    <w:rsid w:val="005E6BA2"/>
    <w:rsid w:val="005E73C7"/>
    <w:rsid w:val="005E791D"/>
    <w:rsid w:val="005F1664"/>
    <w:rsid w:val="005F1716"/>
    <w:rsid w:val="005F1C83"/>
    <w:rsid w:val="005F2621"/>
    <w:rsid w:val="005F28A7"/>
    <w:rsid w:val="005F28D9"/>
    <w:rsid w:val="005F2A73"/>
    <w:rsid w:val="005F2D88"/>
    <w:rsid w:val="005F3638"/>
    <w:rsid w:val="005F38DE"/>
    <w:rsid w:val="005F3C75"/>
    <w:rsid w:val="005F3ECB"/>
    <w:rsid w:val="005F41CB"/>
    <w:rsid w:val="005F436C"/>
    <w:rsid w:val="005F43E7"/>
    <w:rsid w:val="005F4415"/>
    <w:rsid w:val="005F4909"/>
    <w:rsid w:val="005F4ADB"/>
    <w:rsid w:val="005F5037"/>
    <w:rsid w:val="005F5B1A"/>
    <w:rsid w:val="005F6993"/>
    <w:rsid w:val="005F74D4"/>
    <w:rsid w:val="005F7B96"/>
    <w:rsid w:val="006000EB"/>
    <w:rsid w:val="006008D5"/>
    <w:rsid w:val="00600D7D"/>
    <w:rsid w:val="00601ED7"/>
    <w:rsid w:val="006021C3"/>
    <w:rsid w:val="00602533"/>
    <w:rsid w:val="006025F4"/>
    <w:rsid w:val="006029A0"/>
    <w:rsid w:val="00603292"/>
    <w:rsid w:val="00603BE3"/>
    <w:rsid w:val="00604168"/>
    <w:rsid w:val="0060639B"/>
    <w:rsid w:val="006068D5"/>
    <w:rsid w:val="00606AED"/>
    <w:rsid w:val="0061062B"/>
    <w:rsid w:val="00612414"/>
    <w:rsid w:val="006128E2"/>
    <w:rsid w:val="00612E81"/>
    <w:rsid w:val="006130E6"/>
    <w:rsid w:val="00613EAE"/>
    <w:rsid w:val="00614050"/>
    <w:rsid w:val="006141D6"/>
    <w:rsid w:val="006145FE"/>
    <w:rsid w:val="00614887"/>
    <w:rsid w:val="006148F4"/>
    <w:rsid w:val="0062216D"/>
    <w:rsid w:val="00622CF0"/>
    <w:rsid w:val="0062492E"/>
    <w:rsid w:val="0062508C"/>
    <w:rsid w:val="0062541E"/>
    <w:rsid w:val="00625501"/>
    <w:rsid w:val="006271BA"/>
    <w:rsid w:val="00627B37"/>
    <w:rsid w:val="00627D4F"/>
    <w:rsid w:val="00627FB2"/>
    <w:rsid w:val="00631084"/>
    <w:rsid w:val="0063117B"/>
    <w:rsid w:val="00631A7D"/>
    <w:rsid w:val="00631D98"/>
    <w:rsid w:val="00631F42"/>
    <w:rsid w:val="006337DA"/>
    <w:rsid w:val="00634115"/>
    <w:rsid w:val="00634D16"/>
    <w:rsid w:val="006369A8"/>
    <w:rsid w:val="00636D89"/>
    <w:rsid w:val="0063720C"/>
    <w:rsid w:val="006378A6"/>
    <w:rsid w:val="00637993"/>
    <w:rsid w:val="006406AF"/>
    <w:rsid w:val="006412B6"/>
    <w:rsid w:val="0064143C"/>
    <w:rsid w:val="0064145C"/>
    <w:rsid w:val="00642769"/>
    <w:rsid w:val="00643438"/>
    <w:rsid w:val="006438F8"/>
    <w:rsid w:val="00643F4B"/>
    <w:rsid w:val="00644053"/>
    <w:rsid w:val="00644B77"/>
    <w:rsid w:val="00644C3E"/>
    <w:rsid w:val="00644EA9"/>
    <w:rsid w:val="006459BF"/>
    <w:rsid w:val="00647DA5"/>
    <w:rsid w:val="00650176"/>
    <w:rsid w:val="006501EB"/>
    <w:rsid w:val="00650585"/>
    <w:rsid w:val="0065159C"/>
    <w:rsid w:val="0065305F"/>
    <w:rsid w:val="0065394C"/>
    <w:rsid w:val="00653C13"/>
    <w:rsid w:val="006541B1"/>
    <w:rsid w:val="006559CB"/>
    <w:rsid w:val="006562F0"/>
    <w:rsid w:val="00656CAB"/>
    <w:rsid w:val="00657F5D"/>
    <w:rsid w:val="00660B65"/>
    <w:rsid w:val="00660DA5"/>
    <w:rsid w:val="00661167"/>
    <w:rsid w:val="00661C94"/>
    <w:rsid w:val="00662599"/>
    <w:rsid w:val="006626C4"/>
    <w:rsid w:val="00664121"/>
    <w:rsid w:val="00664A43"/>
    <w:rsid w:val="00664FB2"/>
    <w:rsid w:val="0066534F"/>
    <w:rsid w:val="00665E83"/>
    <w:rsid w:val="006670FF"/>
    <w:rsid w:val="006671A6"/>
    <w:rsid w:val="006673A1"/>
    <w:rsid w:val="0066772E"/>
    <w:rsid w:val="00667EFA"/>
    <w:rsid w:val="006700FD"/>
    <w:rsid w:val="0067094B"/>
    <w:rsid w:val="006714DC"/>
    <w:rsid w:val="0067156D"/>
    <w:rsid w:val="00671AEA"/>
    <w:rsid w:val="00671B0C"/>
    <w:rsid w:val="00671BE6"/>
    <w:rsid w:val="00671E7C"/>
    <w:rsid w:val="006724E0"/>
    <w:rsid w:val="00672DB3"/>
    <w:rsid w:val="00673E46"/>
    <w:rsid w:val="00674CE4"/>
    <w:rsid w:val="00675253"/>
    <w:rsid w:val="00675472"/>
    <w:rsid w:val="00676D5F"/>
    <w:rsid w:val="006770E9"/>
    <w:rsid w:val="00677614"/>
    <w:rsid w:val="00680064"/>
    <w:rsid w:val="0068033A"/>
    <w:rsid w:val="006807A2"/>
    <w:rsid w:val="0068168C"/>
    <w:rsid w:val="00681E98"/>
    <w:rsid w:val="00681F93"/>
    <w:rsid w:val="00682074"/>
    <w:rsid w:val="00683774"/>
    <w:rsid w:val="00683A48"/>
    <w:rsid w:val="00684B40"/>
    <w:rsid w:val="00684C00"/>
    <w:rsid w:val="00684D22"/>
    <w:rsid w:val="00685468"/>
    <w:rsid w:val="0068584F"/>
    <w:rsid w:val="0068776C"/>
    <w:rsid w:val="006907E0"/>
    <w:rsid w:val="00690EAC"/>
    <w:rsid w:val="00691145"/>
    <w:rsid w:val="00691352"/>
    <w:rsid w:val="006915BD"/>
    <w:rsid w:val="00692A1C"/>
    <w:rsid w:val="00692AE8"/>
    <w:rsid w:val="00693E10"/>
    <w:rsid w:val="0069461C"/>
    <w:rsid w:val="00694741"/>
    <w:rsid w:val="00694FFA"/>
    <w:rsid w:val="00695153"/>
    <w:rsid w:val="00695A18"/>
    <w:rsid w:val="00696466"/>
    <w:rsid w:val="00696B3B"/>
    <w:rsid w:val="00696CF7"/>
    <w:rsid w:val="00696E28"/>
    <w:rsid w:val="00697BFE"/>
    <w:rsid w:val="00697FA1"/>
    <w:rsid w:val="006A044A"/>
    <w:rsid w:val="006A094F"/>
    <w:rsid w:val="006A0990"/>
    <w:rsid w:val="006A0EBC"/>
    <w:rsid w:val="006A55B3"/>
    <w:rsid w:val="006A5812"/>
    <w:rsid w:val="006A62C0"/>
    <w:rsid w:val="006A63DE"/>
    <w:rsid w:val="006A681A"/>
    <w:rsid w:val="006A7B7B"/>
    <w:rsid w:val="006B0104"/>
    <w:rsid w:val="006B0249"/>
    <w:rsid w:val="006B375D"/>
    <w:rsid w:val="006B4337"/>
    <w:rsid w:val="006B48B1"/>
    <w:rsid w:val="006B51B0"/>
    <w:rsid w:val="006B66C6"/>
    <w:rsid w:val="006B6D59"/>
    <w:rsid w:val="006B7EC7"/>
    <w:rsid w:val="006C03C4"/>
    <w:rsid w:val="006C1EDA"/>
    <w:rsid w:val="006C2C65"/>
    <w:rsid w:val="006C2D80"/>
    <w:rsid w:val="006C3E83"/>
    <w:rsid w:val="006C3EF9"/>
    <w:rsid w:val="006C4B49"/>
    <w:rsid w:val="006C5269"/>
    <w:rsid w:val="006C5A58"/>
    <w:rsid w:val="006C71B0"/>
    <w:rsid w:val="006C72A1"/>
    <w:rsid w:val="006C7BF9"/>
    <w:rsid w:val="006D076A"/>
    <w:rsid w:val="006D24AE"/>
    <w:rsid w:val="006D5771"/>
    <w:rsid w:val="006D644E"/>
    <w:rsid w:val="006E0FB0"/>
    <w:rsid w:val="006E1219"/>
    <w:rsid w:val="006E17C7"/>
    <w:rsid w:val="006E19C4"/>
    <w:rsid w:val="006E366F"/>
    <w:rsid w:val="006E4A09"/>
    <w:rsid w:val="006E5058"/>
    <w:rsid w:val="006E547A"/>
    <w:rsid w:val="006E5802"/>
    <w:rsid w:val="006E5DBD"/>
    <w:rsid w:val="006E678B"/>
    <w:rsid w:val="006E75F9"/>
    <w:rsid w:val="006E77DA"/>
    <w:rsid w:val="006E7F04"/>
    <w:rsid w:val="006F0608"/>
    <w:rsid w:val="006F092A"/>
    <w:rsid w:val="006F0D85"/>
    <w:rsid w:val="006F13D5"/>
    <w:rsid w:val="006F1409"/>
    <w:rsid w:val="006F14AB"/>
    <w:rsid w:val="006F1B4E"/>
    <w:rsid w:val="006F1E1F"/>
    <w:rsid w:val="006F3D63"/>
    <w:rsid w:val="006F439E"/>
    <w:rsid w:val="006F45C0"/>
    <w:rsid w:val="006F464B"/>
    <w:rsid w:val="006F4EC3"/>
    <w:rsid w:val="006F4FB4"/>
    <w:rsid w:val="006F58B6"/>
    <w:rsid w:val="006F66B4"/>
    <w:rsid w:val="006F781E"/>
    <w:rsid w:val="006F7C4C"/>
    <w:rsid w:val="006F7D3D"/>
    <w:rsid w:val="007002F7"/>
    <w:rsid w:val="00700533"/>
    <w:rsid w:val="007015FD"/>
    <w:rsid w:val="0070301B"/>
    <w:rsid w:val="00703F65"/>
    <w:rsid w:val="00704451"/>
    <w:rsid w:val="00704908"/>
    <w:rsid w:val="0070504C"/>
    <w:rsid w:val="00705268"/>
    <w:rsid w:val="00705794"/>
    <w:rsid w:val="00705891"/>
    <w:rsid w:val="00706E7B"/>
    <w:rsid w:val="007074F5"/>
    <w:rsid w:val="0071040C"/>
    <w:rsid w:val="00710474"/>
    <w:rsid w:val="0071064D"/>
    <w:rsid w:val="007126E3"/>
    <w:rsid w:val="007131E7"/>
    <w:rsid w:val="007143CE"/>
    <w:rsid w:val="00716347"/>
    <w:rsid w:val="00716449"/>
    <w:rsid w:val="00716A08"/>
    <w:rsid w:val="00717F49"/>
    <w:rsid w:val="00720262"/>
    <w:rsid w:val="007206E1"/>
    <w:rsid w:val="00722623"/>
    <w:rsid w:val="0072358E"/>
    <w:rsid w:val="00724BF6"/>
    <w:rsid w:val="00725BF0"/>
    <w:rsid w:val="0072609B"/>
    <w:rsid w:val="00726551"/>
    <w:rsid w:val="00726F24"/>
    <w:rsid w:val="007275EC"/>
    <w:rsid w:val="00730A41"/>
    <w:rsid w:val="007320DF"/>
    <w:rsid w:val="007332A5"/>
    <w:rsid w:val="00733635"/>
    <w:rsid w:val="0073414A"/>
    <w:rsid w:val="0073461D"/>
    <w:rsid w:val="00734634"/>
    <w:rsid w:val="0073523E"/>
    <w:rsid w:val="00735B12"/>
    <w:rsid w:val="00736CBB"/>
    <w:rsid w:val="00737248"/>
    <w:rsid w:val="00740D86"/>
    <w:rsid w:val="00740E34"/>
    <w:rsid w:val="007411DB"/>
    <w:rsid w:val="00741765"/>
    <w:rsid w:val="00741C5A"/>
    <w:rsid w:val="0074215B"/>
    <w:rsid w:val="0074236E"/>
    <w:rsid w:val="007435D3"/>
    <w:rsid w:val="007436E8"/>
    <w:rsid w:val="00744830"/>
    <w:rsid w:val="00745795"/>
    <w:rsid w:val="007459AF"/>
    <w:rsid w:val="00745F77"/>
    <w:rsid w:val="007464E6"/>
    <w:rsid w:val="00746635"/>
    <w:rsid w:val="00747F0F"/>
    <w:rsid w:val="007506EF"/>
    <w:rsid w:val="0075084D"/>
    <w:rsid w:val="0075086E"/>
    <w:rsid w:val="00752BAF"/>
    <w:rsid w:val="00753134"/>
    <w:rsid w:val="00753420"/>
    <w:rsid w:val="00753C81"/>
    <w:rsid w:val="007548DB"/>
    <w:rsid w:val="007551A2"/>
    <w:rsid w:val="00755ECE"/>
    <w:rsid w:val="00756019"/>
    <w:rsid w:val="0075681E"/>
    <w:rsid w:val="007573B6"/>
    <w:rsid w:val="00757E4F"/>
    <w:rsid w:val="00760B06"/>
    <w:rsid w:val="00761480"/>
    <w:rsid w:val="0076204B"/>
    <w:rsid w:val="0076290B"/>
    <w:rsid w:val="00762AAF"/>
    <w:rsid w:val="00763021"/>
    <w:rsid w:val="0076333C"/>
    <w:rsid w:val="00763E13"/>
    <w:rsid w:val="00763E14"/>
    <w:rsid w:val="00764797"/>
    <w:rsid w:val="00764A0F"/>
    <w:rsid w:val="00764ADE"/>
    <w:rsid w:val="00765245"/>
    <w:rsid w:val="00770905"/>
    <w:rsid w:val="007709B7"/>
    <w:rsid w:val="00771675"/>
    <w:rsid w:val="007724D2"/>
    <w:rsid w:val="007725BA"/>
    <w:rsid w:val="00773E62"/>
    <w:rsid w:val="0077409F"/>
    <w:rsid w:val="007744B2"/>
    <w:rsid w:val="0077594D"/>
    <w:rsid w:val="00780A2C"/>
    <w:rsid w:val="00781056"/>
    <w:rsid w:val="00781A1A"/>
    <w:rsid w:val="00782D2F"/>
    <w:rsid w:val="0078306E"/>
    <w:rsid w:val="007840CB"/>
    <w:rsid w:val="00784873"/>
    <w:rsid w:val="00785154"/>
    <w:rsid w:val="00785530"/>
    <w:rsid w:val="00785535"/>
    <w:rsid w:val="007858EF"/>
    <w:rsid w:val="00785FEF"/>
    <w:rsid w:val="00786119"/>
    <w:rsid w:val="00786FA8"/>
    <w:rsid w:val="00787405"/>
    <w:rsid w:val="007876CE"/>
    <w:rsid w:val="0078798D"/>
    <w:rsid w:val="00790142"/>
    <w:rsid w:val="0079117E"/>
    <w:rsid w:val="00793018"/>
    <w:rsid w:val="0079310A"/>
    <w:rsid w:val="0079318A"/>
    <w:rsid w:val="00793558"/>
    <w:rsid w:val="00794406"/>
    <w:rsid w:val="00794D73"/>
    <w:rsid w:val="007955FF"/>
    <w:rsid w:val="00795967"/>
    <w:rsid w:val="007959E5"/>
    <w:rsid w:val="00795FBB"/>
    <w:rsid w:val="007967F0"/>
    <w:rsid w:val="007970B9"/>
    <w:rsid w:val="00797335"/>
    <w:rsid w:val="007978AA"/>
    <w:rsid w:val="00797F85"/>
    <w:rsid w:val="007A0774"/>
    <w:rsid w:val="007A0D39"/>
    <w:rsid w:val="007A1543"/>
    <w:rsid w:val="007A16F2"/>
    <w:rsid w:val="007A19F4"/>
    <w:rsid w:val="007A1C71"/>
    <w:rsid w:val="007A2325"/>
    <w:rsid w:val="007A25CD"/>
    <w:rsid w:val="007A3927"/>
    <w:rsid w:val="007A486E"/>
    <w:rsid w:val="007A4A57"/>
    <w:rsid w:val="007A4AA0"/>
    <w:rsid w:val="007A4F6D"/>
    <w:rsid w:val="007A718B"/>
    <w:rsid w:val="007B0680"/>
    <w:rsid w:val="007B0C1C"/>
    <w:rsid w:val="007B1831"/>
    <w:rsid w:val="007B1D8E"/>
    <w:rsid w:val="007B1D9E"/>
    <w:rsid w:val="007B1F19"/>
    <w:rsid w:val="007B1FC8"/>
    <w:rsid w:val="007B1FD6"/>
    <w:rsid w:val="007B2774"/>
    <w:rsid w:val="007B3815"/>
    <w:rsid w:val="007B49AC"/>
    <w:rsid w:val="007B4EEC"/>
    <w:rsid w:val="007B640B"/>
    <w:rsid w:val="007B6B93"/>
    <w:rsid w:val="007C067C"/>
    <w:rsid w:val="007C0BB3"/>
    <w:rsid w:val="007C125A"/>
    <w:rsid w:val="007C15A3"/>
    <w:rsid w:val="007C3273"/>
    <w:rsid w:val="007C45F4"/>
    <w:rsid w:val="007C4979"/>
    <w:rsid w:val="007C5B21"/>
    <w:rsid w:val="007C6068"/>
    <w:rsid w:val="007C6353"/>
    <w:rsid w:val="007C6970"/>
    <w:rsid w:val="007C6FF4"/>
    <w:rsid w:val="007C73D5"/>
    <w:rsid w:val="007D0ADA"/>
    <w:rsid w:val="007D1B05"/>
    <w:rsid w:val="007D3060"/>
    <w:rsid w:val="007D4350"/>
    <w:rsid w:val="007D4691"/>
    <w:rsid w:val="007D4C6C"/>
    <w:rsid w:val="007D4E00"/>
    <w:rsid w:val="007D523B"/>
    <w:rsid w:val="007D5753"/>
    <w:rsid w:val="007D61E0"/>
    <w:rsid w:val="007D67CE"/>
    <w:rsid w:val="007D6FE5"/>
    <w:rsid w:val="007D7E28"/>
    <w:rsid w:val="007E00FD"/>
    <w:rsid w:val="007E0169"/>
    <w:rsid w:val="007E231C"/>
    <w:rsid w:val="007E2C16"/>
    <w:rsid w:val="007E33C8"/>
    <w:rsid w:val="007E480D"/>
    <w:rsid w:val="007E5070"/>
    <w:rsid w:val="007E67FD"/>
    <w:rsid w:val="007E6B90"/>
    <w:rsid w:val="007E6E35"/>
    <w:rsid w:val="007E6F25"/>
    <w:rsid w:val="007E73EC"/>
    <w:rsid w:val="007E7B57"/>
    <w:rsid w:val="007E7D99"/>
    <w:rsid w:val="007F01D5"/>
    <w:rsid w:val="007F0E37"/>
    <w:rsid w:val="007F1515"/>
    <w:rsid w:val="007F3D2F"/>
    <w:rsid w:val="007F3E6E"/>
    <w:rsid w:val="007F47CD"/>
    <w:rsid w:val="007F47D5"/>
    <w:rsid w:val="007F4922"/>
    <w:rsid w:val="007F59A1"/>
    <w:rsid w:val="007F5A1C"/>
    <w:rsid w:val="007F5BBD"/>
    <w:rsid w:val="007F7821"/>
    <w:rsid w:val="007F79FC"/>
    <w:rsid w:val="00800AA5"/>
    <w:rsid w:val="0080142D"/>
    <w:rsid w:val="00801835"/>
    <w:rsid w:val="00801D57"/>
    <w:rsid w:val="00802BF2"/>
    <w:rsid w:val="00803079"/>
    <w:rsid w:val="00803316"/>
    <w:rsid w:val="00803F31"/>
    <w:rsid w:val="008042BC"/>
    <w:rsid w:val="0080433A"/>
    <w:rsid w:val="008044E5"/>
    <w:rsid w:val="00804CE4"/>
    <w:rsid w:val="00804FE8"/>
    <w:rsid w:val="00805B63"/>
    <w:rsid w:val="00806002"/>
    <w:rsid w:val="0080780B"/>
    <w:rsid w:val="00807C31"/>
    <w:rsid w:val="008114CA"/>
    <w:rsid w:val="0081182E"/>
    <w:rsid w:val="008131F8"/>
    <w:rsid w:val="0081339B"/>
    <w:rsid w:val="00817705"/>
    <w:rsid w:val="00817B1F"/>
    <w:rsid w:val="00817C15"/>
    <w:rsid w:val="008207AC"/>
    <w:rsid w:val="008223A4"/>
    <w:rsid w:val="00822E78"/>
    <w:rsid w:val="00824A94"/>
    <w:rsid w:val="00825460"/>
    <w:rsid w:val="00826EE9"/>
    <w:rsid w:val="00827644"/>
    <w:rsid w:val="00827E74"/>
    <w:rsid w:val="00830485"/>
    <w:rsid w:val="00830F1D"/>
    <w:rsid w:val="00831981"/>
    <w:rsid w:val="00831C6C"/>
    <w:rsid w:val="00831D78"/>
    <w:rsid w:val="00831FF5"/>
    <w:rsid w:val="0083241F"/>
    <w:rsid w:val="00833408"/>
    <w:rsid w:val="008346E3"/>
    <w:rsid w:val="008351BB"/>
    <w:rsid w:val="008356E1"/>
    <w:rsid w:val="00836081"/>
    <w:rsid w:val="00836B02"/>
    <w:rsid w:val="00836E40"/>
    <w:rsid w:val="00841060"/>
    <w:rsid w:val="00841383"/>
    <w:rsid w:val="008420A6"/>
    <w:rsid w:val="008427A5"/>
    <w:rsid w:val="008437D5"/>
    <w:rsid w:val="00844128"/>
    <w:rsid w:val="00844FF5"/>
    <w:rsid w:val="00845B2F"/>
    <w:rsid w:val="00847BE5"/>
    <w:rsid w:val="00850A20"/>
    <w:rsid w:val="008510A2"/>
    <w:rsid w:val="00851F0C"/>
    <w:rsid w:val="00851F51"/>
    <w:rsid w:val="008523F5"/>
    <w:rsid w:val="00853A5A"/>
    <w:rsid w:val="00853B12"/>
    <w:rsid w:val="00853E29"/>
    <w:rsid w:val="008540D1"/>
    <w:rsid w:val="00854752"/>
    <w:rsid w:val="00854FD6"/>
    <w:rsid w:val="008556AD"/>
    <w:rsid w:val="00855731"/>
    <w:rsid w:val="0085581A"/>
    <w:rsid w:val="0085583D"/>
    <w:rsid w:val="00855B36"/>
    <w:rsid w:val="00855FD3"/>
    <w:rsid w:val="008560E4"/>
    <w:rsid w:val="00856685"/>
    <w:rsid w:val="00856FA9"/>
    <w:rsid w:val="0085760A"/>
    <w:rsid w:val="00861B21"/>
    <w:rsid w:val="0086252B"/>
    <w:rsid w:val="008627B8"/>
    <w:rsid w:val="008636CE"/>
    <w:rsid w:val="00863FBC"/>
    <w:rsid w:val="00864A9B"/>
    <w:rsid w:val="00866195"/>
    <w:rsid w:val="008674FA"/>
    <w:rsid w:val="008707A9"/>
    <w:rsid w:val="00870AA6"/>
    <w:rsid w:val="00870DC8"/>
    <w:rsid w:val="00871F4E"/>
    <w:rsid w:val="008728F9"/>
    <w:rsid w:val="00872E99"/>
    <w:rsid w:val="008734C6"/>
    <w:rsid w:val="00873583"/>
    <w:rsid w:val="00873B5B"/>
    <w:rsid w:val="008746B8"/>
    <w:rsid w:val="00874788"/>
    <w:rsid w:val="00874F64"/>
    <w:rsid w:val="008756E9"/>
    <w:rsid w:val="008766A3"/>
    <w:rsid w:val="00876F05"/>
    <w:rsid w:val="008800CE"/>
    <w:rsid w:val="00881193"/>
    <w:rsid w:val="008818EC"/>
    <w:rsid w:val="00882C39"/>
    <w:rsid w:val="0088309C"/>
    <w:rsid w:val="008835EA"/>
    <w:rsid w:val="00886624"/>
    <w:rsid w:val="00886F29"/>
    <w:rsid w:val="00887189"/>
    <w:rsid w:val="00887A99"/>
    <w:rsid w:val="00887AFD"/>
    <w:rsid w:val="00887C03"/>
    <w:rsid w:val="00887C9A"/>
    <w:rsid w:val="00890014"/>
    <w:rsid w:val="00890862"/>
    <w:rsid w:val="00890D27"/>
    <w:rsid w:val="008914BB"/>
    <w:rsid w:val="0089311E"/>
    <w:rsid w:val="008950C4"/>
    <w:rsid w:val="0089535A"/>
    <w:rsid w:val="0089541B"/>
    <w:rsid w:val="0089606B"/>
    <w:rsid w:val="008975FF"/>
    <w:rsid w:val="008A3AE2"/>
    <w:rsid w:val="008A4114"/>
    <w:rsid w:val="008A6B84"/>
    <w:rsid w:val="008B1F44"/>
    <w:rsid w:val="008B270C"/>
    <w:rsid w:val="008B3A35"/>
    <w:rsid w:val="008B4337"/>
    <w:rsid w:val="008B49F9"/>
    <w:rsid w:val="008B4F3E"/>
    <w:rsid w:val="008B51C8"/>
    <w:rsid w:val="008B5522"/>
    <w:rsid w:val="008B60BE"/>
    <w:rsid w:val="008B6D1B"/>
    <w:rsid w:val="008B7468"/>
    <w:rsid w:val="008B7650"/>
    <w:rsid w:val="008C0A72"/>
    <w:rsid w:val="008C0FBA"/>
    <w:rsid w:val="008C2243"/>
    <w:rsid w:val="008C27CD"/>
    <w:rsid w:val="008C2ECF"/>
    <w:rsid w:val="008C3470"/>
    <w:rsid w:val="008C403F"/>
    <w:rsid w:val="008C4F54"/>
    <w:rsid w:val="008C578A"/>
    <w:rsid w:val="008C5CAB"/>
    <w:rsid w:val="008C5E42"/>
    <w:rsid w:val="008C64BC"/>
    <w:rsid w:val="008C694D"/>
    <w:rsid w:val="008C696B"/>
    <w:rsid w:val="008D2614"/>
    <w:rsid w:val="008D2B24"/>
    <w:rsid w:val="008D30D7"/>
    <w:rsid w:val="008D3BEF"/>
    <w:rsid w:val="008D4E60"/>
    <w:rsid w:val="008D51CE"/>
    <w:rsid w:val="008D6D82"/>
    <w:rsid w:val="008D6DC9"/>
    <w:rsid w:val="008D6FE4"/>
    <w:rsid w:val="008E0FAD"/>
    <w:rsid w:val="008E276C"/>
    <w:rsid w:val="008E2B65"/>
    <w:rsid w:val="008E2E04"/>
    <w:rsid w:val="008E37C2"/>
    <w:rsid w:val="008E37CD"/>
    <w:rsid w:val="008E3A94"/>
    <w:rsid w:val="008E44BA"/>
    <w:rsid w:val="008E5731"/>
    <w:rsid w:val="008E5853"/>
    <w:rsid w:val="008E6A30"/>
    <w:rsid w:val="008F02C0"/>
    <w:rsid w:val="008F0602"/>
    <w:rsid w:val="008F0615"/>
    <w:rsid w:val="008F0977"/>
    <w:rsid w:val="008F13BA"/>
    <w:rsid w:val="008F1A79"/>
    <w:rsid w:val="008F2A35"/>
    <w:rsid w:val="008F337B"/>
    <w:rsid w:val="008F3B8E"/>
    <w:rsid w:val="008F41E4"/>
    <w:rsid w:val="008F47A7"/>
    <w:rsid w:val="008F58F2"/>
    <w:rsid w:val="008F5D86"/>
    <w:rsid w:val="008F64B6"/>
    <w:rsid w:val="008F78C9"/>
    <w:rsid w:val="0090067E"/>
    <w:rsid w:val="00901606"/>
    <w:rsid w:val="00901FA4"/>
    <w:rsid w:val="00902F71"/>
    <w:rsid w:val="00903791"/>
    <w:rsid w:val="00903948"/>
    <w:rsid w:val="009046D9"/>
    <w:rsid w:val="00904720"/>
    <w:rsid w:val="00904767"/>
    <w:rsid w:val="00904866"/>
    <w:rsid w:val="00904A03"/>
    <w:rsid w:val="00906A1E"/>
    <w:rsid w:val="00906D57"/>
    <w:rsid w:val="00906E45"/>
    <w:rsid w:val="00907013"/>
    <w:rsid w:val="009071FC"/>
    <w:rsid w:val="0090779C"/>
    <w:rsid w:val="00911833"/>
    <w:rsid w:val="00911B7A"/>
    <w:rsid w:val="00911BA9"/>
    <w:rsid w:val="0091271E"/>
    <w:rsid w:val="0091286F"/>
    <w:rsid w:val="00912B0A"/>
    <w:rsid w:val="00912BF4"/>
    <w:rsid w:val="00912E66"/>
    <w:rsid w:val="00913E8A"/>
    <w:rsid w:val="00915C94"/>
    <w:rsid w:val="00916A0D"/>
    <w:rsid w:val="0091769F"/>
    <w:rsid w:val="009179BE"/>
    <w:rsid w:val="00921A73"/>
    <w:rsid w:val="00921CD4"/>
    <w:rsid w:val="00921DCA"/>
    <w:rsid w:val="009225D2"/>
    <w:rsid w:val="00922809"/>
    <w:rsid w:val="00923225"/>
    <w:rsid w:val="009234E0"/>
    <w:rsid w:val="00923772"/>
    <w:rsid w:val="00925C74"/>
    <w:rsid w:val="00925EB5"/>
    <w:rsid w:val="0092673B"/>
    <w:rsid w:val="00926E29"/>
    <w:rsid w:val="0092760F"/>
    <w:rsid w:val="00927A96"/>
    <w:rsid w:val="009312C8"/>
    <w:rsid w:val="00931431"/>
    <w:rsid w:val="00931484"/>
    <w:rsid w:val="009326E2"/>
    <w:rsid w:val="00933EC8"/>
    <w:rsid w:val="00934015"/>
    <w:rsid w:val="00934396"/>
    <w:rsid w:val="00934CC9"/>
    <w:rsid w:val="009366E9"/>
    <w:rsid w:val="009369B5"/>
    <w:rsid w:val="00937385"/>
    <w:rsid w:val="00937C8E"/>
    <w:rsid w:val="0094068E"/>
    <w:rsid w:val="00940B01"/>
    <w:rsid w:val="00941359"/>
    <w:rsid w:val="009417BF"/>
    <w:rsid w:val="00941BBA"/>
    <w:rsid w:val="00943008"/>
    <w:rsid w:val="00944D0A"/>
    <w:rsid w:val="00945477"/>
    <w:rsid w:val="00945484"/>
    <w:rsid w:val="009458BC"/>
    <w:rsid w:val="00945E97"/>
    <w:rsid w:val="0094633B"/>
    <w:rsid w:val="0094725A"/>
    <w:rsid w:val="00947A2F"/>
    <w:rsid w:val="009508A5"/>
    <w:rsid w:val="00951516"/>
    <w:rsid w:val="00951B40"/>
    <w:rsid w:val="00951CAB"/>
    <w:rsid w:val="00952770"/>
    <w:rsid w:val="00953AAB"/>
    <w:rsid w:val="00953AAF"/>
    <w:rsid w:val="00953F85"/>
    <w:rsid w:val="00954602"/>
    <w:rsid w:val="00955D00"/>
    <w:rsid w:val="0095672F"/>
    <w:rsid w:val="009572D1"/>
    <w:rsid w:val="0095784D"/>
    <w:rsid w:val="00957A4C"/>
    <w:rsid w:val="00957ED2"/>
    <w:rsid w:val="00961242"/>
    <w:rsid w:val="009612A9"/>
    <w:rsid w:val="009612B1"/>
    <w:rsid w:val="0096175D"/>
    <w:rsid w:val="00961B37"/>
    <w:rsid w:val="00963768"/>
    <w:rsid w:val="0096382E"/>
    <w:rsid w:val="00964AC9"/>
    <w:rsid w:val="00964BD2"/>
    <w:rsid w:val="00966294"/>
    <w:rsid w:val="00966862"/>
    <w:rsid w:val="0096696B"/>
    <w:rsid w:val="00966D42"/>
    <w:rsid w:val="0096770D"/>
    <w:rsid w:val="00970136"/>
    <w:rsid w:val="009708A3"/>
    <w:rsid w:val="0097091C"/>
    <w:rsid w:val="00971EF5"/>
    <w:rsid w:val="00972984"/>
    <w:rsid w:val="00972FA1"/>
    <w:rsid w:val="00973782"/>
    <w:rsid w:val="00973F2A"/>
    <w:rsid w:val="00974620"/>
    <w:rsid w:val="00974CBC"/>
    <w:rsid w:val="009752E9"/>
    <w:rsid w:val="0097597A"/>
    <w:rsid w:val="00975DCE"/>
    <w:rsid w:val="00975F07"/>
    <w:rsid w:val="0097673D"/>
    <w:rsid w:val="00977247"/>
    <w:rsid w:val="009774F3"/>
    <w:rsid w:val="009779C5"/>
    <w:rsid w:val="0098011E"/>
    <w:rsid w:val="00980723"/>
    <w:rsid w:val="009807F0"/>
    <w:rsid w:val="00980B9A"/>
    <w:rsid w:val="0098174B"/>
    <w:rsid w:val="00981944"/>
    <w:rsid w:val="00981983"/>
    <w:rsid w:val="00982465"/>
    <w:rsid w:val="00982632"/>
    <w:rsid w:val="00982B08"/>
    <w:rsid w:val="00982B47"/>
    <w:rsid w:val="0098365C"/>
    <w:rsid w:val="00983F6A"/>
    <w:rsid w:val="00984096"/>
    <w:rsid w:val="0098409F"/>
    <w:rsid w:val="009840C6"/>
    <w:rsid w:val="0098512E"/>
    <w:rsid w:val="009855EB"/>
    <w:rsid w:val="00985750"/>
    <w:rsid w:val="009863C9"/>
    <w:rsid w:val="009864F3"/>
    <w:rsid w:val="0098721A"/>
    <w:rsid w:val="00990341"/>
    <w:rsid w:val="00990982"/>
    <w:rsid w:val="00990F76"/>
    <w:rsid w:val="00991239"/>
    <w:rsid w:val="00991822"/>
    <w:rsid w:val="00992328"/>
    <w:rsid w:val="009926FB"/>
    <w:rsid w:val="00992F4D"/>
    <w:rsid w:val="00993A45"/>
    <w:rsid w:val="00996515"/>
    <w:rsid w:val="00996A2A"/>
    <w:rsid w:val="00996B1A"/>
    <w:rsid w:val="00997C36"/>
    <w:rsid w:val="009A0C93"/>
    <w:rsid w:val="009A0DDB"/>
    <w:rsid w:val="009A3014"/>
    <w:rsid w:val="009A30A3"/>
    <w:rsid w:val="009A4140"/>
    <w:rsid w:val="009A416A"/>
    <w:rsid w:val="009A468A"/>
    <w:rsid w:val="009A4A3E"/>
    <w:rsid w:val="009A4F69"/>
    <w:rsid w:val="009A52A2"/>
    <w:rsid w:val="009A6243"/>
    <w:rsid w:val="009A6F3B"/>
    <w:rsid w:val="009A746F"/>
    <w:rsid w:val="009A7DF6"/>
    <w:rsid w:val="009B0CCD"/>
    <w:rsid w:val="009B1F0B"/>
    <w:rsid w:val="009B23FE"/>
    <w:rsid w:val="009B3377"/>
    <w:rsid w:val="009B3915"/>
    <w:rsid w:val="009B4175"/>
    <w:rsid w:val="009B45FE"/>
    <w:rsid w:val="009B47E5"/>
    <w:rsid w:val="009B51DA"/>
    <w:rsid w:val="009B6AD1"/>
    <w:rsid w:val="009B7515"/>
    <w:rsid w:val="009B760F"/>
    <w:rsid w:val="009B76D6"/>
    <w:rsid w:val="009B7F34"/>
    <w:rsid w:val="009C14B0"/>
    <w:rsid w:val="009C2111"/>
    <w:rsid w:val="009C2587"/>
    <w:rsid w:val="009C2A65"/>
    <w:rsid w:val="009C3D3E"/>
    <w:rsid w:val="009C402C"/>
    <w:rsid w:val="009C4C3B"/>
    <w:rsid w:val="009C5770"/>
    <w:rsid w:val="009C61CA"/>
    <w:rsid w:val="009C65F9"/>
    <w:rsid w:val="009C661B"/>
    <w:rsid w:val="009C67CF"/>
    <w:rsid w:val="009C7891"/>
    <w:rsid w:val="009C7C37"/>
    <w:rsid w:val="009D10D7"/>
    <w:rsid w:val="009D1EA1"/>
    <w:rsid w:val="009D1F47"/>
    <w:rsid w:val="009D20D3"/>
    <w:rsid w:val="009D2623"/>
    <w:rsid w:val="009D31C8"/>
    <w:rsid w:val="009D3B35"/>
    <w:rsid w:val="009D3CE3"/>
    <w:rsid w:val="009D428B"/>
    <w:rsid w:val="009D432C"/>
    <w:rsid w:val="009D55A8"/>
    <w:rsid w:val="009D6641"/>
    <w:rsid w:val="009D66A1"/>
    <w:rsid w:val="009D7A9E"/>
    <w:rsid w:val="009D7CBF"/>
    <w:rsid w:val="009E004A"/>
    <w:rsid w:val="009E100B"/>
    <w:rsid w:val="009E1658"/>
    <w:rsid w:val="009E1C21"/>
    <w:rsid w:val="009E33EE"/>
    <w:rsid w:val="009E39B6"/>
    <w:rsid w:val="009E3DA6"/>
    <w:rsid w:val="009E4295"/>
    <w:rsid w:val="009E45B8"/>
    <w:rsid w:val="009E4791"/>
    <w:rsid w:val="009E4A03"/>
    <w:rsid w:val="009E6170"/>
    <w:rsid w:val="009E62C2"/>
    <w:rsid w:val="009E6F54"/>
    <w:rsid w:val="009E72F8"/>
    <w:rsid w:val="009E73CB"/>
    <w:rsid w:val="009E7C0C"/>
    <w:rsid w:val="009F0836"/>
    <w:rsid w:val="009F1562"/>
    <w:rsid w:val="009F2121"/>
    <w:rsid w:val="009F2754"/>
    <w:rsid w:val="009F2A9C"/>
    <w:rsid w:val="009F44C6"/>
    <w:rsid w:val="009F478A"/>
    <w:rsid w:val="009F5B9D"/>
    <w:rsid w:val="009F5BDF"/>
    <w:rsid w:val="009F6756"/>
    <w:rsid w:val="00A0034B"/>
    <w:rsid w:val="00A0290C"/>
    <w:rsid w:val="00A02B2E"/>
    <w:rsid w:val="00A02FAC"/>
    <w:rsid w:val="00A0417E"/>
    <w:rsid w:val="00A048B3"/>
    <w:rsid w:val="00A049C9"/>
    <w:rsid w:val="00A05388"/>
    <w:rsid w:val="00A072DF"/>
    <w:rsid w:val="00A1085A"/>
    <w:rsid w:val="00A10A29"/>
    <w:rsid w:val="00A11055"/>
    <w:rsid w:val="00A116D7"/>
    <w:rsid w:val="00A121AE"/>
    <w:rsid w:val="00A122B3"/>
    <w:rsid w:val="00A12AF0"/>
    <w:rsid w:val="00A13A10"/>
    <w:rsid w:val="00A13CC1"/>
    <w:rsid w:val="00A1463C"/>
    <w:rsid w:val="00A14829"/>
    <w:rsid w:val="00A151CC"/>
    <w:rsid w:val="00A1596A"/>
    <w:rsid w:val="00A16215"/>
    <w:rsid w:val="00A16247"/>
    <w:rsid w:val="00A16758"/>
    <w:rsid w:val="00A170C4"/>
    <w:rsid w:val="00A20023"/>
    <w:rsid w:val="00A226FC"/>
    <w:rsid w:val="00A2359F"/>
    <w:rsid w:val="00A23DE1"/>
    <w:rsid w:val="00A24040"/>
    <w:rsid w:val="00A241AB"/>
    <w:rsid w:val="00A256F9"/>
    <w:rsid w:val="00A256FC"/>
    <w:rsid w:val="00A2577F"/>
    <w:rsid w:val="00A25841"/>
    <w:rsid w:val="00A25E4B"/>
    <w:rsid w:val="00A25E59"/>
    <w:rsid w:val="00A25F18"/>
    <w:rsid w:val="00A26B2A"/>
    <w:rsid w:val="00A26B8A"/>
    <w:rsid w:val="00A275C0"/>
    <w:rsid w:val="00A27771"/>
    <w:rsid w:val="00A27D05"/>
    <w:rsid w:val="00A30814"/>
    <w:rsid w:val="00A3194A"/>
    <w:rsid w:val="00A31BAE"/>
    <w:rsid w:val="00A325A8"/>
    <w:rsid w:val="00A328B8"/>
    <w:rsid w:val="00A32BC1"/>
    <w:rsid w:val="00A350D0"/>
    <w:rsid w:val="00A3608D"/>
    <w:rsid w:val="00A366FA"/>
    <w:rsid w:val="00A368EA"/>
    <w:rsid w:val="00A36D04"/>
    <w:rsid w:val="00A37D4F"/>
    <w:rsid w:val="00A40448"/>
    <w:rsid w:val="00A40B8B"/>
    <w:rsid w:val="00A41017"/>
    <w:rsid w:val="00A41B36"/>
    <w:rsid w:val="00A41E88"/>
    <w:rsid w:val="00A4233C"/>
    <w:rsid w:val="00A427C1"/>
    <w:rsid w:val="00A42F24"/>
    <w:rsid w:val="00A44505"/>
    <w:rsid w:val="00A44747"/>
    <w:rsid w:val="00A45612"/>
    <w:rsid w:val="00A46B62"/>
    <w:rsid w:val="00A46F83"/>
    <w:rsid w:val="00A477FB"/>
    <w:rsid w:val="00A4789B"/>
    <w:rsid w:val="00A479D4"/>
    <w:rsid w:val="00A50375"/>
    <w:rsid w:val="00A515E3"/>
    <w:rsid w:val="00A5281A"/>
    <w:rsid w:val="00A540CC"/>
    <w:rsid w:val="00A54C46"/>
    <w:rsid w:val="00A55E2E"/>
    <w:rsid w:val="00A5649A"/>
    <w:rsid w:val="00A56660"/>
    <w:rsid w:val="00A57398"/>
    <w:rsid w:val="00A575E6"/>
    <w:rsid w:val="00A57628"/>
    <w:rsid w:val="00A57DE8"/>
    <w:rsid w:val="00A6044A"/>
    <w:rsid w:val="00A607E7"/>
    <w:rsid w:val="00A61119"/>
    <w:rsid w:val="00A61ECF"/>
    <w:rsid w:val="00A627F0"/>
    <w:rsid w:val="00A64E65"/>
    <w:rsid w:val="00A64F85"/>
    <w:rsid w:val="00A64FD1"/>
    <w:rsid w:val="00A65CC0"/>
    <w:rsid w:val="00A66389"/>
    <w:rsid w:val="00A6644E"/>
    <w:rsid w:val="00A6652C"/>
    <w:rsid w:val="00A67D06"/>
    <w:rsid w:val="00A67DED"/>
    <w:rsid w:val="00A7035F"/>
    <w:rsid w:val="00A70368"/>
    <w:rsid w:val="00A70BE7"/>
    <w:rsid w:val="00A71081"/>
    <w:rsid w:val="00A71357"/>
    <w:rsid w:val="00A721B5"/>
    <w:rsid w:val="00A72C16"/>
    <w:rsid w:val="00A72DE6"/>
    <w:rsid w:val="00A74307"/>
    <w:rsid w:val="00A74D92"/>
    <w:rsid w:val="00A74FB3"/>
    <w:rsid w:val="00A760F1"/>
    <w:rsid w:val="00A7660C"/>
    <w:rsid w:val="00A76C23"/>
    <w:rsid w:val="00A76D50"/>
    <w:rsid w:val="00A76EF9"/>
    <w:rsid w:val="00A77AA3"/>
    <w:rsid w:val="00A77BCC"/>
    <w:rsid w:val="00A80798"/>
    <w:rsid w:val="00A80842"/>
    <w:rsid w:val="00A8259D"/>
    <w:rsid w:val="00A8294C"/>
    <w:rsid w:val="00A831D7"/>
    <w:rsid w:val="00A8386C"/>
    <w:rsid w:val="00A8473C"/>
    <w:rsid w:val="00A85CE1"/>
    <w:rsid w:val="00A85EF8"/>
    <w:rsid w:val="00A86465"/>
    <w:rsid w:val="00A87607"/>
    <w:rsid w:val="00A87DD2"/>
    <w:rsid w:val="00A912CC"/>
    <w:rsid w:val="00A92A3D"/>
    <w:rsid w:val="00A92F03"/>
    <w:rsid w:val="00A93033"/>
    <w:rsid w:val="00A93776"/>
    <w:rsid w:val="00A938C8"/>
    <w:rsid w:val="00A93A6F"/>
    <w:rsid w:val="00A9616A"/>
    <w:rsid w:val="00AA0271"/>
    <w:rsid w:val="00AA0A35"/>
    <w:rsid w:val="00AA113D"/>
    <w:rsid w:val="00AA1354"/>
    <w:rsid w:val="00AA165C"/>
    <w:rsid w:val="00AA22B0"/>
    <w:rsid w:val="00AA230A"/>
    <w:rsid w:val="00AA2BD7"/>
    <w:rsid w:val="00AA2BDF"/>
    <w:rsid w:val="00AA54AF"/>
    <w:rsid w:val="00AA58D6"/>
    <w:rsid w:val="00AA6109"/>
    <w:rsid w:val="00AA6D1C"/>
    <w:rsid w:val="00AB0484"/>
    <w:rsid w:val="00AB19E1"/>
    <w:rsid w:val="00AB276D"/>
    <w:rsid w:val="00AB2F27"/>
    <w:rsid w:val="00AB3B14"/>
    <w:rsid w:val="00AB3C75"/>
    <w:rsid w:val="00AB437D"/>
    <w:rsid w:val="00AB507E"/>
    <w:rsid w:val="00AB50BA"/>
    <w:rsid w:val="00AB66F8"/>
    <w:rsid w:val="00AB6BE8"/>
    <w:rsid w:val="00AC0F0D"/>
    <w:rsid w:val="00AC1196"/>
    <w:rsid w:val="00AC134F"/>
    <w:rsid w:val="00AC16B4"/>
    <w:rsid w:val="00AC1BA7"/>
    <w:rsid w:val="00AC20D6"/>
    <w:rsid w:val="00AC424C"/>
    <w:rsid w:val="00AC4509"/>
    <w:rsid w:val="00AC4770"/>
    <w:rsid w:val="00AC502A"/>
    <w:rsid w:val="00AC57C0"/>
    <w:rsid w:val="00AC5A2B"/>
    <w:rsid w:val="00AC647D"/>
    <w:rsid w:val="00AC68BD"/>
    <w:rsid w:val="00AC72F3"/>
    <w:rsid w:val="00AD07EA"/>
    <w:rsid w:val="00AD08B9"/>
    <w:rsid w:val="00AD1DCB"/>
    <w:rsid w:val="00AD2A62"/>
    <w:rsid w:val="00AD2D0B"/>
    <w:rsid w:val="00AD3527"/>
    <w:rsid w:val="00AD596B"/>
    <w:rsid w:val="00AD6086"/>
    <w:rsid w:val="00AD61E7"/>
    <w:rsid w:val="00AD6B14"/>
    <w:rsid w:val="00AE03E0"/>
    <w:rsid w:val="00AE04A0"/>
    <w:rsid w:val="00AE054E"/>
    <w:rsid w:val="00AE085F"/>
    <w:rsid w:val="00AE228E"/>
    <w:rsid w:val="00AE2472"/>
    <w:rsid w:val="00AE2483"/>
    <w:rsid w:val="00AE2748"/>
    <w:rsid w:val="00AE2F13"/>
    <w:rsid w:val="00AE2FD7"/>
    <w:rsid w:val="00AE35C5"/>
    <w:rsid w:val="00AE3CEB"/>
    <w:rsid w:val="00AE43EB"/>
    <w:rsid w:val="00AE47EF"/>
    <w:rsid w:val="00AE55DA"/>
    <w:rsid w:val="00AE5974"/>
    <w:rsid w:val="00AE5EF9"/>
    <w:rsid w:val="00AE6021"/>
    <w:rsid w:val="00AF063D"/>
    <w:rsid w:val="00AF0C14"/>
    <w:rsid w:val="00AF21DA"/>
    <w:rsid w:val="00AF28EF"/>
    <w:rsid w:val="00AF362E"/>
    <w:rsid w:val="00AF37B2"/>
    <w:rsid w:val="00AF3B9C"/>
    <w:rsid w:val="00AF52CC"/>
    <w:rsid w:val="00AF603C"/>
    <w:rsid w:val="00AF6323"/>
    <w:rsid w:val="00AF6D79"/>
    <w:rsid w:val="00B001C7"/>
    <w:rsid w:val="00B0118C"/>
    <w:rsid w:val="00B013F1"/>
    <w:rsid w:val="00B01BEA"/>
    <w:rsid w:val="00B020C6"/>
    <w:rsid w:val="00B03F00"/>
    <w:rsid w:val="00B04F10"/>
    <w:rsid w:val="00B065CD"/>
    <w:rsid w:val="00B0687E"/>
    <w:rsid w:val="00B07B01"/>
    <w:rsid w:val="00B10140"/>
    <w:rsid w:val="00B1138F"/>
    <w:rsid w:val="00B12657"/>
    <w:rsid w:val="00B12911"/>
    <w:rsid w:val="00B1358E"/>
    <w:rsid w:val="00B1411F"/>
    <w:rsid w:val="00B1421C"/>
    <w:rsid w:val="00B14366"/>
    <w:rsid w:val="00B146E6"/>
    <w:rsid w:val="00B14980"/>
    <w:rsid w:val="00B149F8"/>
    <w:rsid w:val="00B14A8D"/>
    <w:rsid w:val="00B152C9"/>
    <w:rsid w:val="00B15331"/>
    <w:rsid w:val="00B15CE9"/>
    <w:rsid w:val="00B162E0"/>
    <w:rsid w:val="00B16CF9"/>
    <w:rsid w:val="00B17020"/>
    <w:rsid w:val="00B173C5"/>
    <w:rsid w:val="00B20323"/>
    <w:rsid w:val="00B222B5"/>
    <w:rsid w:val="00B22860"/>
    <w:rsid w:val="00B228B6"/>
    <w:rsid w:val="00B230A6"/>
    <w:rsid w:val="00B230A8"/>
    <w:rsid w:val="00B23749"/>
    <w:rsid w:val="00B24893"/>
    <w:rsid w:val="00B24CA4"/>
    <w:rsid w:val="00B24CE8"/>
    <w:rsid w:val="00B25336"/>
    <w:rsid w:val="00B267B2"/>
    <w:rsid w:val="00B30632"/>
    <w:rsid w:val="00B31705"/>
    <w:rsid w:val="00B32DB2"/>
    <w:rsid w:val="00B339D2"/>
    <w:rsid w:val="00B33BCD"/>
    <w:rsid w:val="00B33CA6"/>
    <w:rsid w:val="00B34855"/>
    <w:rsid w:val="00B34EE4"/>
    <w:rsid w:val="00B34F04"/>
    <w:rsid w:val="00B35CD0"/>
    <w:rsid w:val="00B36D3C"/>
    <w:rsid w:val="00B36E11"/>
    <w:rsid w:val="00B417F6"/>
    <w:rsid w:val="00B41F49"/>
    <w:rsid w:val="00B440BB"/>
    <w:rsid w:val="00B444D7"/>
    <w:rsid w:val="00B448A6"/>
    <w:rsid w:val="00B44AD0"/>
    <w:rsid w:val="00B454DF"/>
    <w:rsid w:val="00B45632"/>
    <w:rsid w:val="00B4688E"/>
    <w:rsid w:val="00B470C6"/>
    <w:rsid w:val="00B47D0F"/>
    <w:rsid w:val="00B5040B"/>
    <w:rsid w:val="00B508AD"/>
    <w:rsid w:val="00B51B78"/>
    <w:rsid w:val="00B524C5"/>
    <w:rsid w:val="00B52EA8"/>
    <w:rsid w:val="00B53156"/>
    <w:rsid w:val="00B53E63"/>
    <w:rsid w:val="00B54213"/>
    <w:rsid w:val="00B5474B"/>
    <w:rsid w:val="00B55691"/>
    <w:rsid w:val="00B56462"/>
    <w:rsid w:val="00B575F9"/>
    <w:rsid w:val="00B57687"/>
    <w:rsid w:val="00B57D22"/>
    <w:rsid w:val="00B609E4"/>
    <w:rsid w:val="00B60AEA"/>
    <w:rsid w:val="00B60B84"/>
    <w:rsid w:val="00B61A7E"/>
    <w:rsid w:val="00B61B88"/>
    <w:rsid w:val="00B62D4A"/>
    <w:rsid w:val="00B63132"/>
    <w:rsid w:val="00B63757"/>
    <w:rsid w:val="00B63E23"/>
    <w:rsid w:val="00B6419B"/>
    <w:rsid w:val="00B6475A"/>
    <w:rsid w:val="00B6576D"/>
    <w:rsid w:val="00B658F8"/>
    <w:rsid w:val="00B66619"/>
    <w:rsid w:val="00B6704E"/>
    <w:rsid w:val="00B67ADE"/>
    <w:rsid w:val="00B67C6F"/>
    <w:rsid w:val="00B67DFC"/>
    <w:rsid w:val="00B67F49"/>
    <w:rsid w:val="00B71FB3"/>
    <w:rsid w:val="00B7255F"/>
    <w:rsid w:val="00B728AE"/>
    <w:rsid w:val="00B72B17"/>
    <w:rsid w:val="00B72C2B"/>
    <w:rsid w:val="00B73836"/>
    <w:rsid w:val="00B73984"/>
    <w:rsid w:val="00B74091"/>
    <w:rsid w:val="00B77BD8"/>
    <w:rsid w:val="00B80BF6"/>
    <w:rsid w:val="00B80DD3"/>
    <w:rsid w:val="00B8179A"/>
    <w:rsid w:val="00B81AE7"/>
    <w:rsid w:val="00B8289C"/>
    <w:rsid w:val="00B829CD"/>
    <w:rsid w:val="00B83103"/>
    <w:rsid w:val="00B837C7"/>
    <w:rsid w:val="00B84056"/>
    <w:rsid w:val="00B84B75"/>
    <w:rsid w:val="00B85426"/>
    <w:rsid w:val="00B87D33"/>
    <w:rsid w:val="00B90401"/>
    <w:rsid w:val="00B9130C"/>
    <w:rsid w:val="00B92E7C"/>
    <w:rsid w:val="00B93939"/>
    <w:rsid w:val="00B94194"/>
    <w:rsid w:val="00B9496E"/>
    <w:rsid w:val="00B94B27"/>
    <w:rsid w:val="00B94BB3"/>
    <w:rsid w:val="00B94FD4"/>
    <w:rsid w:val="00B95317"/>
    <w:rsid w:val="00B966F6"/>
    <w:rsid w:val="00B96E8B"/>
    <w:rsid w:val="00B97B7F"/>
    <w:rsid w:val="00BA049F"/>
    <w:rsid w:val="00BA07AF"/>
    <w:rsid w:val="00BA0E69"/>
    <w:rsid w:val="00BA1DBA"/>
    <w:rsid w:val="00BA2B8A"/>
    <w:rsid w:val="00BA379D"/>
    <w:rsid w:val="00BA3CFD"/>
    <w:rsid w:val="00BA4560"/>
    <w:rsid w:val="00BA4F7C"/>
    <w:rsid w:val="00BA5721"/>
    <w:rsid w:val="00BA612B"/>
    <w:rsid w:val="00BA6156"/>
    <w:rsid w:val="00BA7618"/>
    <w:rsid w:val="00BA7657"/>
    <w:rsid w:val="00BB0960"/>
    <w:rsid w:val="00BB0E0B"/>
    <w:rsid w:val="00BB10A7"/>
    <w:rsid w:val="00BB17B5"/>
    <w:rsid w:val="00BB180B"/>
    <w:rsid w:val="00BB1A1F"/>
    <w:rsid w:val="00BB23BE"/>
    <w:rsid w:val="00BB38D3"/>
    <w:rsid w:val="00BB3F2A"/>
    <w:rsid w:val="00BB52BA"/>
    <w:rsid w:val="00BB5559"/>
    <w:rsid w:val="00BB61AD"/>
    <w:rsid w:val="00BB66FF"/>
    <w:rsid w:val="00BB71D3"/>
    <w:rsid w:val="00BC0D8B"/>
    <w:rsid w:val="00BC150C"/>
    <w:rsid w:val="00BC15EB"/>
    <w:rsid w:val="00BC2220"/>
    <w:rsid w:val="00BC23B3"/>
    <w:rsid w:val="00BC33BE"/>
    <w:rsid w:val="00BC3B4A"/>
    <w:rsid w:val="00BC4177"/>
    <w:rsid w:val="00BC4730"/>
    <w:rsid w:val="00BC4B23"/>
    <w:rsid w:val="00BC4D83"/>
    <w:rsid w:val="00BC500F"/>
    <w:rsid w:val="00BC57A5"/>
    <w:rsid w:val="00BC6447"/>
    <w:rsid w:val="00BC6484"/>
    <w:rsid w:val="00BC7037"/>
    <w:rsid w:val="00BC7CE2"/>
    <w:rsid w:val="00BD0899"/>
    <w:rsid w:val="00BD143C"/>
    <w:rsid w:val="00BD1470"/>
    <w:rsid w:val="00BD14DD"/>
    <w:rsid w:val="00BD1C02"/>
    <w:rsid w:val="00BD229E"/>
    <w:rsid w:val="00BD246D"/>
    <w:rsid w:val="00BD3BB3"/>
    <w:rsid w:val="00BD4640"/>
    <w:rsid w:val="00BD4CCC"/>
    <w:rsid w:val="00BD512B"/>
    <w:rsid w:val="00BD5389"/>
    <w:rsid w:val="00BD68D4"/>
    <w:rsid w:val="00BD7D5B"/>
    <w:rsid w:val="00BE31EB"/>
    <w:rsid w:val="00BE3895"/>
    <w:rsid w:val="00BE56F8"/>
    <w:rsid w:val="00BE6EEC"/>
    <w:rsid w:val="00BE784F"/>
    <w:rsid w:val="00BF0BFF"/>
    <w:rsid w:val="00BF0F4D"/>
    <w:rsid w:val="00BF14B3"/>
    <w:rsid w:val="00BF3961"/>
    <w:rsid w:val="00BF3BD5"/>
    <w:rsid w:val="00BF42CC"/>
    <w:rsid w:val="00BF5703"/>
    <w:rsid w:val="00BF5967"/>
    <w:rsid w:val="00BF5C21"/>
    <w:rsid w:val="00BF5EEA"/>
    <w:rsid w:val="00BF66B4"/>
    <w:rsid w:val="00BF6AA5"/>
    <w:rsid w:val="00C011CD"/>
    <w:rsid w:val="00C01CC4"/>
    <w:rsid w:val="00C02756"/>
    <w:rsid w:val="00C02F3A"/>
    <w:rsid w:val="00C03292"/>
    <w:rsid w:val="00C03430"/>
    <w:rsid w:val="00C0360E"/>
    <w:rsid w:val="00C04BC2"/>
    <w:rsid w:val="00C04E3F"/>
    <w:rsid w:val="00C05962"/>
    <w:rsid w:val="00C05A1E"/>
    <w:rsid w:val="00C075F7"/>
    <w:rsid w:val="00C076CC"/>
    <w:rsid w:val="00C102A2"/>
    <w:rsid w:val="00C10DDA"/>
    <w:rsid w:val="00C1181D"/>
    <w:rsid w:val="00C11EFB"/>
    <w:rsid w:val="00C12146"/>
    <w:rsid w:val="00C13034"/>
    <w:rsid w:val="00C133EF"/>
    <w:rsid w:val="00C133FD"/>
    <w:rsid w:val="00C1349B"/>
    <w:rsid w:val="00C1429E"/>
    <w:rsid w:val="00C146B9"/>
    <w:rsid w:val="00C14754"/>
    <w:rsid w:val="00C1508C"/>
    <w:rsid w:val="00C15B3C"/>
    <w:rsid w:val="00C168CD"/>
    <w:rsid w:val="00C16C6D"/>
    <w:rsid w:val="00C16C9F"/>
    <w:rsid w:val="00C17419"/>
    <w:rsid w:val="00C20918"/>
    <w:rsid w:val="00C21FDD"/>
    <w:rsid w:val="00C22275"/>
    <w:rsid w:val="00C226C8"/>
    <w:rsid w:val="00C22F47"/>
    <w:rsid w:val="00C23567"/>
    <w:rsid w:val="00C23A25"/>
    <w:rsid w:val="00C23EAA"/>
    <w:rsid w:val="00C23F10"/>
    <w:rsid w:val="00C23FCE"/>
    <w:rsid w:val="00C25B4C"/>
    <w:rsid w:val="00C25E79"/>
    <w:rsid w:val="00C26A8F"/>
    <w:rsid w:val="00C32C4C"/>
    <w:rsid w:val="00C3421B"/>
    <w:rsid w:val="00C3469F"/>
    <w:rsid w:val="00C34AE9"/>
    <w:rsid w:val="00C355D7"/>
    <w:rsid w:val="00C35AFA"/>
    <w:rsid w:val="00C35BF2"/>
    <w:rsid w:val="00C35C60"/>
    <w:rsid w:val="00C36DED"/>
    <w:rsid w:val="00C37083"/>
    <w:rsid w:val="00C409CC"/>
    <w:rsid w:val="00C40A17"/>
    <w:rsid w:val="00C421C3"/>
    <w:rsid w:val="00C42E4F"/>
    <w:rsid w:val="00C43910"/>
    <w:rsid w:val="00C46D30"/>
    <w:rsid w:val="00C47CCA"/>
    <w:rsid w:val="00C50283"/>
    <w:rsid w:val="00C508AE"/>
    <w:rsid w:val="00C511CD"/>
    <w:rsid w:val="00C52332"/>
    <w:rsid w:val="00C52A92"/>
    <w:rsid w:val="00C52DED"/>
    <w:rsid w:val="00C52EC1"/>
    <w:rsid w:val="00C531E3"/>
    <w:rsid w:val="00C53CB2"/>
    <w:rsid w:val="00C54995"/>
    <w:rsid w:val="00C55022"/>
    <w:rsid w:val="00C55A03"/>
    <w:rsid w:val="00C56E66"/>
    <w:rsid w:val="00C570C8"/>
    <w:rsid w:val="00C60188"/>
    <w:rsid w:val="00C609E5"/>
    <w:rsid w:val="00C61165"/>
    <w:rsid w:val="00C61236"/>
    <w:rsid w:val="00C612DB"/>
    <w:rsid w:val="00C615FD"/>
    <w:rsid w:val="00C6253E"/>
    <w:rsid w:val="00C62816"/>
    <w:rsid w:val="00C6488B"/>
    <w:rsid w:val="00C64E71"/>
    <w:rsid w:val="00C664DF"/>
    <w:rsid w:val="00C66510"/>
    <w:rsid w:val="00C679E1"/>
    <w:rsid w:val="00C67CE9"/>
    <w:rsid w:val="00C7070D"/>
    <w:rsid w:val="00C70A20"/>
    <w:rsid w:val="00C71263"/>
    <w:rsid w:val="00C7236B"/>
    <w:rsid w:val="00C72832"/>
    <w:rsid w:val="00C72894"/>
    <w:rsid w:val="00C72A47"/>
    <w:rsid w:val="00C72CF8"/>
    <w:rsid w:val="00C730A8"/>
    <w:rsid w:val="00C73363"/>
    <w:rsid w:val="00C76467"/>
    <w:rsid w:val="00C76820"/>
    <w:rsid w:val="00C771F7"/>
    <w:rsid w:val="00C7747A"/>
    <w:rsid w:val="00C80923"/>
    <w:rsid w:val="00C809CD"/>
    <w:rsid w:val="00C81F61"/>
    <w:rsid w:val="00C82684"/>
    <w:rsid w:val="00C831F4"/>
    <w:rsid w:val="00C83DB7"/>
    <w:rsid w:val="00C861C7"/>
    <w:rsid w:val="00C8752C"/>
    <w:rsid w:val="00C87804"/>
    <w:rsid w:val="00C90AEE"/>
    <w:rsid w:val="00C90FF7"/>
    <w:rsid w:val="00C91C88"/>
    <w:rsid w:val="00C92024"/>
    <w:rsid w:val="00C939F8"/>
    <w:rsid w:val="00C94B53"/>
    <w:rsid w:val="00C95A9F"/>
    <w:rsid w:val="00C95D01"/>
    <w:rsid w:val="00C96FB4"/>
    <w:rsid w:val="00C97918"/>
    <w:rsid w:val="00CA0028"/>
    <w:rsid w:val="00CA006C"/>
    <w:rsid w:val="00CA0E58"/>
    <w:rsid w:val="00CA1F89"/>
    <w:rsid w:val="00CA2953"/>
    <w:rsid w:val="00CA29B6"/>
    <w:rsid w:val="00CA3796"/>
    <w:rsid w:val="00CA46B5"/>
    <w:rsid w:val="00CA4716"/>
    <w:rsid w:val="00CA7006"/>
    <w:rsid w:val="00CA71CB"/>
    <w:rsid w:val="00CB0E60"/>
    <w:rsid w:val="00CB18D0"/>
    <w:rsid w:val="00CB1BAC"/>
    <w:rsid w:val="00CB1F6F"/>
    <w:rsid w:val="00CB220E"/>
    <w:rsid w:val="00CB25E6"/>
    <w:rsid w:val="00CB2A9B"/>
    <w:rsid w:val="00CB2F17"/>
    <w:rsid w:val="00CB331A"/>
    <w:rsid w:val="00CB3CB9"/>
    <w:rsid w:val="00CB4258"/>
    <w:rsid w:val="00CB45A8"/>
    <w:rsid w:val="00CB47BF"/>
    <w:rsid w:val="00CB5798"/>
    <w:rsid w:val="00CB6065"/>
    <w:rsid w:val="00CB6475"/>
    <w:rsid w:val="00CB663D"/>
    <w:rsid w:val="00CB689A"/>
    <w:rsid w:val="00CB6B64"/>
    <w:rsid w:val="00CC078B"/>
    <w:rsid w:val="00CC13DE"/>
    <w:rsid w:val="00CC15FF"/>
    <w:rsid w:val="00CC19CA"/>
    <w:rsid w:val="00CC1EEA"/>
    <w:rsid w:val="00CC2482"/>
    <w:rsid w:val="00CC395B"/>
    <w:rsid w:val="00CC4D19"/>
    <w:rsid w:val="00CC5DF2"/>
    <w:rsid w:val="00CC768F"/>
    <w:rsid w:val="00CC7857"/>
    <w:rsid w:val="00CC7DF7"/>
    <w:rsid w:val="00CD059A"/>
    <w:rsid w:val="00CD0963"/>
    <w:rsid w:val="00CD0B0E"/>
    <w:rsid w:val="00CD0EE7"/>
    <w:rsid w:val="00CD2668"/>
    <w:rsid w:val="00CD2C7D"/>
    <w:rsid w:val="00CD2DF8"/>
    <w:rsid w:val="00CD309D"/>
    <w:rsid w:val="00CD50A4"/>
    <w:rsid w:val="00CD59F9"/>
    <w:rsid w:val="00CD5AA7"/>
    <w:rsid w:val="00CD6527"/>
    <w:rsid w:val="00CD6A5B"/>
    <w:rsid w:val="00CD706C"/>
    <w:rsid w:val="00CE02BD"/>
    <w:rsid w:val="00CE02FD"/>
    <w:rsid w:val="00CE090D"/>
    <w:rsid w:val="00CE11CC"/>
    <w:rsid w:val="00CE2006"/>
    <w:rsid w:val="00CE2248"/>
    <w:rsid w:val="00CE23E7"/>
    <w:rsid w:val="00CE2BF7"/>
    <w:rsid w:val="00CE34EB"/>
    <w:rsid w:val="00CE3ADD"/>
    <w:rsid w:val="00CE4134"/>
    <w:rsid w:val="00CE46FA"/>
    <w:rsid w:val="00CE4E3E"/>
    <w:rsid w:val="00CE4EE8"/>
    <w:rsid w:val="00CE5617"/>
    <w:rsid w:val="00CE5D3A"/>
    <w:rsid w:val="00CE5EC7"/>
    <w:rsid w:val="00CE5F78"/>
    <w:rsid w:val="00CE70FE"/>
    <w:rsid w:val="00CE7281"/>
    <w:rsid w:val="00CE757F"/>
    <w:rsid w:val="00CF09FD"/>
    <w:rsid w:val="00CF1275"/>
    <w:rsid w:val="00CF15F1"/>
    <w:rsid w:val="00CF1938"/>
    <w:rsid w:val="00CF200B"/>
    <w:rsid w:val="00CF20EA"/>
    <w:rsid w:val="00CF2AD0"/>
    <w:rsid w:val="00CF2DE4"/>
    <w:rsid w:val="00CF2F6B"/>
    <w:rsid w:val="00CF3152"/>
    <w:rsid w:val="00CF36F9"/>
    <w:rsid w:val="00CF3CC5"/>
    <w:rsid w:val="00CF3EC2"/>
    <w:rsid w:val="00CF428D"/>
    <w:rsid w:val="00CF4873"/>
    <w:rsid w:val="00CF488A"/>
    <w:rsid w:val="00CF4B16"/>
    <w:rsid w:val="00CF5FF7"/>
    <w:rsid w:val="00CF61D3"/>
    <w:rsid w:val="00CF61E6"/>
    <w:rsid w:val="00CF76AB"/>
    <w:rsid w:val="00D011C4"/>
    <w:rsid w:val="00D01ABA"/>
    <w:rsid w:val="00D01BE9"/>
    <w:rsid w:val="00D01D3E"/>
    <w:rsid w:val="00D0248F"/>
    <w:rsid w:val="00D0292C"/>
    <w:rsid w:val="00D02AB8"/>
    <w:rsid w:val="00D030FC"/>
    <w:rsid w:val="00D03659"/>
    <w:rsid w:val="00D03A06"/>
    <w:rsid w:val="00D04C09"/>
    <w:rsid w:val="00D04C4C"/>
    <w:rsid w:val="00D04CDE"/>
    <w:rsid w:val="00D05C11"/>
    <w:rsid w:val="00D05EAF"/>
    <w:rsid w:val="00D06212"/>
    <w:rsid w:val="00D06328"/>
    <w:rsid w:val="00D07FA0"/>
    <w:rsid w:val="00D104E1"/>
    <w:rsid w:val="00D11005"/>
    <w:rsid w:val="00D113D6"/>
    <w:rsid w:val="00D11AE8"/>
    <w:rsid w:val="00D143A3"/>
    <w:rsid w:val="00D15988"/>
    <w:rsid w:val="00D1642B"/>
    <w:rsid w:val="00D16723"/>
    <w:rsid w:val="00D16FC8"/>
    <w:rsid w:val="00D179AC"/>
    <w:rsid w:val="00D17A3A"/>
    <w:rsid w:val="00D17DA2"/>
    <w:rsid w:val="00D17DE8"/>
    <w:rsid w:val="00D17E69"/>
    <w:rsid w:val="00D2237B"/>
    <w:rsid w:val="00D231F2"/>
    <w:rsid w:val="00D23F10"/>
    <w:rsid w:val="00D240CA"/>
    <w:rsid w:val="00D25B8A"/>
    <w:rsid w:val="00D26B6B"/>
    <w:rsid w:val="00D276C5"/>
    <w:rsid w:val="00D309BD"/>
    <w:rsid w:val="00D3155F"/>
    <w:rsid w:val="00D31EDA"/>
    <w:rsid w:val="00D328A7"/>
    <w:rsid w:val="00D3353E"/>
    <w:rsid w:val="00D34468"/>
    <w:rsid w:val="00D353F4"/>
    <w:rsid w:val="00D35FCF"/>
    <w:rsid w:val="00D36075"/>
    <w:rsid w:val="00D370C6"/>
    <w:rsid w:val="00D403C8"/>
    <w:rsid w:val="00D40589"/>
    <w:rsid w:val="00D40648"/>
    <w:rsid w:val="00D40EEE"/>
    <w:rsid w:val="00D415BE"/>
    <w:rsid w:val="00D43598"/>
    <w:rsid w:val="00D4381A"/>
    <w:rsid w:val="00D439A5"/>
    <w:rsid w:val="00D45F07"/>
    <w:rsid w:val="00D47508"/>
    <w:rsid w:val="00D47A12"/>
    <w:rsid w:val="00D47D37"/>
    <w:rsid w:val="00D47D76"/>
    <w:rsid w:val="00D50166"/>
    <w:rsid w:val="00D516D2"/>
    <w:rsid w:val="00D5297B"/>
    <w:rsid w:val="00D52DEF"/>
    <w:rsid w:val="00D52F0A"/>
    <w:rsid w:val="00D53135"/>
    <w:rsid w:val="00D534B2"/>
    <w:rsid w:val="00D53EA7"/>
    <w:rsid w:val="00D54851"/>
    <w:rsid w:val="00D558BC"/>
    <w:rsid w:val="00D57BFF"/>
    <w:rsid w:val="00D60C65"/>
    <w:rsid w:val="00D62E72"/>
    <w:rsid w:val="00D63B85"/>
    <w:rsid w:val="00D64E5C"/>
    <w:rsid w:val="00D65D86"/>
    <w:rsid w:val="00D6628D"/>
    <w:rsid w:val="00D7147F"/>
    <w:rsid w:val="00D71E34"/>
    <w:rsid w:val="00D72BC6"/>
    <w:rsid w:val="00D72D22"/>
    <w:rsid w:val="00D7573C"/>
    <w:rsid w:val="00D75846"/>
    <w:rsid w:val="00D76E80"/>
    <w:rsid w:val="00D77920"/>
    <w:rsid w:val="00D800FD"/>
    <w:rsid w:val="00D80A89"/>
    <w:rsid w:val="00D80F15"/>
    <w:rsid w:val="00D811A8"/>
    <w:rsid w:val="00D817BF"/>
    <w:rsid w:val="00D82407"/>
    <w:rsid w:val="00D83470"/>
    <w:rsid w:val="00D838F7"/>
    <w:rsid w:val="00D83F67"/>
    <w:rsid w:val="00D843D5"/>
    <w:rsid w:val="00D84888"/>
    <w:rsid w:val="00D84A72"/>
    <w:rsid w:val="00D867D8"/>
    <w:rsid w:val="00D86CEE"/>
    <w:rsid w:val="00D90A0D"/>
    <w:rsid w:val="00D90C2F"/>
    <w:rsid w:val="00D91414"/>
    <w:rsid w:val="00D92BC5"/>
    <w:rsid w:val="00D92D1A"/>
    <w:rsid w:val="00D93181"/>
    <w:rsid w:val="00D93751"/>
    <w:rsid w:val="00D93B01"/>
    <w:rsid w:val="00D94D15"/>
    <w:rsid w:val="00D95C59"/>
    <w:rsid w:val="00D96678"/>
    <w:rsid w:val="00D96DD8"/>
    <w:rsid w:val="00D975F4"/>
    <w:rsid w:val="00D97C7D"/>
    <w:rsid w:val="00D97F24"/>
    <w:rsid w:val="00DA1A95"/>
    <w:rsid w:val="00DA1D2C"/>
    <w:rsid w:val="00DA3282"/>
    <w:rsid w:val="00DA3507"/>
    <w:rsid w:val="00DA3E0F"/>
    <w:rsid w:val="00DA521B"/>
    <w:rsid w:val="00DA638F"/>
    <w:rsid w:val="00DA6B13"/>
    <w:rsid w:val="00DA6BBE"/>
    <w:rsid w:val="00DA76AB"/>
    <w:rsid w:val="00DB0009"/>
    <w:rsid w:val="00DB1133"/>
    <w:rsid w:val="00DB2892"/>
    <w:rsid w:val="00DB4F36"/>
    <w:rsid w:val="00DB536F"/>
    <w:rsid w:val="00DB538C"/>
    <w:rsid w:val="00DB656F"/>
    <w:rsid w:val="00DB6664"/>
    <w:rsid w:val="00DB6EA9"/>
    <w:rsid w:val="00DB78CC"/>
    <w:rsid w:val="00DB78F7"/>
    <w:rsid w:val="00DB7B1E"/>
    <w:rsid w:val="00DC0020"/>
    <w:rsid w:val="00DC0B49"/>
    <w:rsid w:val="00DC1594"/>
    <w:rsid w:val="00DC17C3"/>
    <w:rsid w:val="00DC2711"/>
    <w:rsid w:val="00DC30EE"/>
    <w:rsid w:val="00DC42FE"/>
    <w:rsid w:val="00DC4A7D"/>
    <w:rsid w:val="00DC4BBC"/>
    <w:rsid w:val="00DC4E2A"/>
    <w:rsid w:val="00DC4EEB"/>
    <w:rsid w:val="00DC57E5"/>
    <w:rsid w:val="00DC5EA0"/>
    <w:rsid w:val="00DC6093"/>
    <w:rsid w:val="00DC67BD"/>
    <w:rsid w:val="00DC7752"/>
    <w:rsid w:val="00DC7DE6"/>
    <w:rsid w:val="00DC7EAB"/>
    <w:rsid w:val="00DD066F"/>
    <w:rsid w:val="00DD0824"/>
    <w:rsid w:val="00DD0A96"/>
    <w:rsid w:val="00DD0BBF"/>
    <w:rsid w:val="00DD16B2"/>
    <w:rsid w:val="00DD1765"/>
    <w:rsid w:val="00DD196E"/>
    <w:rsid w:val="00DD1AA7"/>
    <w:rsid w:val="00DD324F"/>
    <w:rsid w:val="00DD381D"/>
    <w:rsid w:val="00DD3DCB"/>
    <w:rsid w:val="00DD4013"/>
    <w:rsid w:val="00DD4B87"/>
    <w:rsid w:val="00DD4BA1"/>
    <w:rsid w:val="00DD4EC4"/>
    <w:rsid w:val="00DD5048"/>
    <w:rsid w:val="00DD5E44"/>
    <w:rsid w:val="00DD72BE"/>
    <w:rsid w:val="00DD76A1"/>
    <w:rsid w:val="00DD787A"/>
    <w:rsid w:val="00DE04D3"/>
    <w:rsid w:val="00DE10F3"/>
    <w:rsid w:val="00DE13D7"/>
    <w:rsid w:val="00DE159C"/>
    <w:rsid w:val="00DE28A8"/>
    <w:rsid w:val="00DE352E"/>
    <w:rsid w:val="00DE38E0"/>
    <w:rsid w:val="00DE4DFA"/>
    <w:rsid w:val="00DE4F02"/>
    <w:rsid w:val="00DE57F9"/>
    <w:rsid w:val="00DE5F0E"/>
    <w:rsid w:val="00DE6EAB"/>
    <w:rsid w:val="00DE788A"/>
    <w:rsid w:val="00DE7E27"/>
    <w:rsid w:val="00DE7ECE"/>
    <w:rsid w:val="00DF0313"/>
    <w:rsid w:val="00DF0413"/>
    <w:rsid w:val="00DF08D2"/>
    <w:rsid w:val="00DF0C86"/>
    <w:rsid w:val="00DF1B0C"/>
    <w:rsid w:val="00DF3303"/>
    <w:rsid w:val="00DF3FE7"/>
    <w:rsid w:val="00DF42B5"/>
    <w:rsid w:val="00DF4CFD"/>
    <w:rsid w:val="00DF4EE0"/>
    <w:rsid w:val="00DF51D3"/>
    <w:rsid w:val="00DF5646"/>
    <w:rsid w:val="00DF5674"/>
    <w:rsid w:val="00DF5AC5"/>
    <w:rsid w:val="00DF5BE2"/>
    <w:rsid w:val="00DF600E"/>
    <w:rsid w:val="00DF6BB5"/>
    <w:rsid w:val="00E0273A"/>
    <w:rsid w:val="00E02825"/>
    <w:rsid w:val="00E04DFD"/>
    <w:rsid w:val="00E04EBE"/>
    <w:rsid w:val="00E06ADC"/>
    <w:rsid w:val="00E06FDB"/>
    <w:rsid w:val="00E100E6"/>
    <w:rsid w:val="00E10D13"/>
    <w:rsid w:val="00E11FA7"/>
    <w:rsid w:val="00E11FCD"/>
    <w:rsid w:val="00E1249B"/>
    <w:rsid w:val="00E13267"/>
    <w:rsid w:val="00E1399C"/>
    <w:rsid w:val="00E1422B"/>
    <w:rsid w:val="00E14363"/>
    <w:rsid w:val="00E148FF"/>
    <w:rsid w:val="00E15348"/>
    <w:rsid w:val="00E1577C"/>
    <w:rsid w:val="00E1767C"/>
    <w:rsid w:val="00E1775A"/>
    <w:rsid w:val="00E20B36"/>
    <w:rsid w:val="00E20ECE"/>
    <w:rsid w:val="00E21FFF"/>
    <w:rsid w:val="00E2297A"/>
    <w:rsid w:val="00E231F6"/>
    <w:rsid w:val="00E23BA8"/>
    <w:rsid w:val="00E242B5"/>
    <w:rsid w:val="00E24C5E"/>
    <w:rsid w:val="00E25626"/>
    <w:rsid w:val="00E2678A"/>
    <w:rsid w:val="00E27339"/>
    <w:rsid w:val="00E27818"/>
    <w:rsid w:val="00E27BBD"/>
    <w:rsid w:val="00E31ACD"/>
    <w:rsid w:val="00E31C6C"/>
    <w:rsid w:val="00E375C9"/>
    <w:rsid w:val="00E40F88"/>
    <w:rsid w:val="00E41407"/>
    <w:rsid w:val="00E415A4"/>
    <w:rsid w:val="00E42D27"/>
    <w:rsid w:val="00E439FA"/>
    <w:rsid w:val="00E43C68"/>
    <w:rsid w:val="00E4554E"/>
    <w:rsid w:val="00E4663B"/>
    <w:rsid w:val="00E47E0C"/>
    <w:rsid w:val="00E5001E"/>
    <w:rsid w:val="00E506C8"/>
    <w:rsid w:val="00E50868"/>
    <w:rsid w:val="00E50995"/>
    <w:rsid w:val="00E516CA"/>
    <w:rsid w:val="00E51E3E"/>
    <w:rsid w:val="00E51EE1"/>
    <w:rsid w:val="00E52168"/>
    <w:rsid w:val="00E52D80"/>
    <w:rsid w:val="00E541E3"/>
    <w:rsid w:val="00E54A44"/>
    <w:rsid w:val="00E556E8"/>
    <w:rsid w:val="00E55E6E"/>
    <w:rsid w:val="00E56131"/>
    <w:rsid w:val="00E56FE2"/>
    <w:rsid w:val="00E5714E"/>
    <w:rsid w:val="00E57C18"/>
    <w:rsid w:val="00E57E43"/>
    <w:rsid w:val="00E603AE"/>
    <w:rsid w:val="00E60AD7"/>
    <w:rsid w:val="00E60CA4"/>
    <w:rsid w:val="00E60F7F"/>
    <w:rsid w:val="00E6193F"/>
    <w:rsid w:val="00E61ED6"/>
    <w:rsid w:val="00E61FFD"/>
    <w:rsid w:val="00E62358"/>
    <w:rsid w:val="00E63309"/>
    <w:rsid w:val="00E635F7"/>
    <w:rsid w:val="00E63734"/>
    <w:rsid w:val="00E63772"/>
    <w:rsid w:val="00E64D7F"/>
    <w:rsid w:val="00E6540D"/>
    <w:rsid w:val="00E65EE8"/>
    <w:rsid w:val="00E65FC5"/>
    <w:rsid w:val="00E70513"/>
    <w:rsid w:val="00E70B0E"/>
    <w:rsid w:val="00E70D93"/>
    <w:rsid w:val="00E7268B"/>
    <w:rsid w:val="00E732F7"/>
    <w:rsid w:val="00E73D63"/>
    <w:rsid w:val="00E755B7"/>
    <w:rsid w:val="00E767A8"/>
    <w:rsid w:val="00E774D9"/>
    <w:rsid w:val="00E779C8"/>
    <w:rsid w:val="00E77B82"/>
    <w:rsid w:val="00E77D97"/>
    <w:rsid w:val="00E80334"/>
    <w:rsid w:val="00E80538"/>
    <w:rsid w:val="00E8067E"/>
    <w:rsid w:val="00E82497"/>
    <w:rsid w:val="00E82DBD"/>
    <w:rsid w:val="00E83409"/>
    <w:rsid w:val="00E83624"/>
    <w:rsid w:val="00E841D6"/>
    <w:rsid w:val="00E84655"/>
    <w:rsid w:val="00E84F94"/>
    <w:rsid w:val="00E85160"/>
    <w:rsid w:val="00E8618C"/>
    <w:rsid w:val="00E901A5"/>
    <w:rsid w:val="00E9030B"/>
    <w:rsid w:val="00E904E2"/>
    <w:rsid w:val="00E9098D"/>
    <w:rsid w:val="00E9119F"/>
    <w:rsid w:val="00E9145F"/>
    <w:rsid w:val="00E93784"/>
    <w:rsid w:val="00E949BF"/>
    <w:rsid w:val="00E94C86"/>
    <w:rsid w:val="00E94F3F"/>
    <w:rsid w:val="00E95434"/>
    <w:rsid w:val="00E9620B"/>
    <w:rsid w:val="00EA1002"/>
    <w:rsid w:val="00EA1EF0"/>
    <w:rsid w:val="00EA2A38"/>
    <w:rsid w:val="00EA4709"/>
    <w:rsid w:val="00EA4B14"/>
    <w:rsid w:val="00EA7C10"/>
    <w:rsid w:val="00EA7DA0"/>
    <w:rsid w:val="00EA7F15"/>
    <w:rsid w:val="00EB066E"/>
    <w:rsid w:val="00EB1E23"/>
    <w:rsid w:val="00EB21E3"/>
    <w:rsid w:val="00EB256D"/>
    <w:rsid w:val="00EB2AB7"/>
    <w:rsid w:val="00EB3361"/>
    <w:rsid w:val="00EB4E3C"/>
    <w:rsid w:val="00EB4ED2"/>
    <w:rsid w:val="00EB5165"/>
    <w:rsid w:val="00EB5711"/>
    <w:rsid w:val="00EB57E7"/>
    <w:rsid w:val="00EB5B24"/>
    <w:rsid w:val="00EB5FD9"/>
    <w:rsid w:val="00EC009E"/>
    <w:rsid w:val="00EC0F26"/>
    <w:rsid w:val="00EC18FC"/>
    <w:rsid w:val="00EC19EF"/>
    <w:rsid w:val="00EC429D"/>
    <w:rsid w:val="00EC49F4"/>
    <w:rsid w:val="00EC4B7A"/>
    <w:rsid w:val="00EC548A"/>
    <w:rsid w:val="00EC5623"/>
    <w:rsid w:val="00EC5C75"/>
    <w:rsid w:val="00EC6982"/>
    <w:rsid w:val="00EC7F49"/>
    <w:rsid w:val="00ED0505"/>
    <w:rsid w:val="00ED0CC2"/>
    <w:rsid w:val="00ED128F"/>
    <w:rsid w:val="00ED21C5"/>
    <w:rsid w:val="00ED2633"/>
    <w:rsid w:val="00ED2C02"/>
    <w:rsid w:val="00ED323B"/>
    <w:rsid w:val="00ED385A"/>
    <w:rsid w:val="00ED39CD"/>
    <w:rsid w:val="00ED45BC"/>
    <w:rsid w:val="00ED50A2"/>
    <w:rsid w:val="00ED5A25"/>
    <w:rsid w:val="00ED6761"/>
    <w:rsid w:val="00ED7221"/>
    <w:rsid w:val="00ED7275"/>
    <w:rsid w:val="00ED7E81"/>
    <w:rsid w:val="00EE04D7"/>
    <w:rsid w:val="00EE1837"/>
    <w:rsid w:val="00EE1F0E"/>
    <w:rsid w:val="00EE2495"/>
    <w:rsid w:val="00EE2E10"/>
    <w:rsid w:val="00EE366B"/>
    <w:rsid w:val="00EE3D39"/>
    <w:rsid w:val="00EE4309"/>
    <w:rsid w:val="00EE4A85"/>
    <w:rsid w:val="00EE4F68"/>
    <w:rsid w:val="00EE5C09"/>
    <w:rsid w:val="00EE6147"/>
    <w:rsid w:val="00EE6571"/>
    <w:rsid w:val="00EF00C8"/>
    <w:rsid w:val="00EF020F"/>
    <w:rsid w:val="00EF066A"/>
    <w:rsid w:val="00EF0D8B"/>
    <w:rsid w:val="00EF0DC8"/>
    <w:rsid w:val="00EF2856"/>
    <w:rsid w:val="00EF2C0D"/>
    <w:rsid w:val="00EF33E7"/>
    <w:rsid w:val="00EF3DE2"/>
    <w:rsid w:val="00EF3FC7"/>
    <w:rsid w:val="00EF5FEC"/>
    <w:rsid w:val="00EF7097"/>
    <w:rsid w:val="00F000BD"/>
    <w:rsid w:val="00F000C9"/>
    <w:rsid w:val="00F01BE5"/>
    <w:rsid w:val="00F021A7"/>
    <w:rsid w:val="00F0257C"/>
    <w:rsid w:val="00F03488"/>
    <w:rsid w:val="00F036AD"/>
    <w:rsid w:val="00F04252"/>
    <w:rsid w:val="00F0631F"/>
    <w:rsid w:val="00F06972"/>
    <w:rsid w:val="00F105D9"/>
    <w:rsid w:val="00F10A18"/>
    <w:rsid w:val="00F10E60"/>
    <w:rsid w:val="00F135E4"/>
    <w:rsid w:val="00F13A43"/>
    <w:rsid w:val="00F14037"/>
    <w:rsid w:val="00F1443F"/>
    <w:rsid w:val="00F149C4"/>
    <w:rsid w:val="00F169ED"/>
    <w:rsid w:val="00F17968"/>
    <w:rsid w:val="00F17A8B"/>
    <w:rsid w:val="00F219AA"/>
    <w:rsid w:val="00F21BB5"/>
    <w:rsid w:val="00F2238D"/>
    <w:rsid w:val="00F2512B"/>
    <w:rsid w:val="00F25D96"/>
    <w:rsid w:val="00F26165"/>
    <w:rsid w:val="00F26917"/>
    <w:rsid w:val="00F30DE2"/>
    <w:rsid w:val="00F311ED"/>
    <w:rsid w:val="00F31323"/>
    <w:rsid w:val="00F3232C"/>
    <w:rsid w:val="00F3256C"/>
    <w:rsid w:val="00F33731"/>
    <w:rsid w:val="00F346BE"/>
    <w:rsid w:val="00F34D72"/>
    <w:rsid w:val="00F403D7"/>
    <w:rsid w:val="00F404D2"/>
    <w:rsid w:val="00F40722"/>
    <w:rsid w:val="00F40A8B"/>
    <w:rsid w:val="00F41024"/>
    <w:rsid w:val="00F41D61"/>
    <w:rsid w:val="00F41DA0"/>
    <w:rsid w:val="00F4309F"/>
    <w:rsid w:val="00F433D0"/>
    <w:rsid w:val="00F43DCB"/>
    <w:rsid w:val="00F44015"/>
    <w:rsid w:val="00F444F6"/>
    <w:rsid w:val="00F46FE1"/>
    <w:rsid w:val="00F5169D"/>
    <w:rsid w:val="00F526D2"/>
    <w:rsid w:val="00F52D22"/>
    <w:rsid w:val="00F53732"/>
    <w:rsid w:val="00F53CEB"/>
    <w:rsid w:val="00F54A45"/>
    <w:rsid w:val="00F54F0D"/>
    <w:rsid w:val="00F552B9"/>
    <w:rsid w:val="00F56737"/>
    <w:rsid w:val="00F57BDB"/>
    <w:rsid w:val="00F57F63"/>
    <w:rsid w:val="00F60BBE"/>
    <w:rsid w:val="00F61D9C"/>
    <w:rsid w:val="00F62E35"/>
    <w:rsid w:val="00F6354D"/>
    <w:rsid w:val="00F63DD6"/>
    <w:rsid w:val="00F64B77"/>
    <w:rsid w:val="00F64F5B"/>
    <w:rsid w:val="00F660C1"/>
    <w:rsid w:val="00F67E08"/>
    <w:rsid w:val="00F70B9A"/>
    <w:rsid w:val="00F70C20"/>
    <w:rsid w:val="00F723E1"/>
    <w:rsid w:val="00F726CA"/>
    <w:rsid w:val="00F7387B"/>
    <w:rsid w:val="00F73EF8"/>
    <w:rsid w:val="00F750A2"/>
    <w:rsid w:val="00F752C7"/>
    <w:rsid w:val="00F76035"/>
    <w:rsid w:val="00F7690E"/>
    <w:rsid w:val="00F76D14"/>
    <w:rsid w:val="00F7709C"/>
    <w:rsid w:val="00F8012D"/>
    <w:rsid w:val="00F80243"/>
    <w:rsid w:val="00F80D09"/>
    <w:rsid w:val="00F81B9B"/>
    <w:rsid w:val="00F8332F"/>
    <w:rsid w:val="00F83AC9"/>
    <w:rsid w:val="00F83CAD"/>
    <w:rsid w:val="00F84975"/>
    <w:rsid w:val="00F84BFE"/>
    <w:rsid w:val="00F87079"/>
    <w:rsid w:val="00F876C7"/>
    <w:rsid w:val="00F901E7"/>
    <w:rsid w:val="00F9044F"/>
    <w:rsid w:val="00F91954"/>
    <w:rsid w:val="00F92983"/>
    <w:rsid w:val="00F92BDE"/>
    <w:rsid w:val="00F930E1"/>
    <w:rsid w:val="00F93370"/>
    <w:rsid w:val="00F9370B"/>
    <w:rsid w:val="00F93782"/>
    <w:rsid w:val="00F93C44"/>
    <w:rsid w:val="00F94136"/>
    <w:rsid w:val="00F95AD0"/>
    <w:rsid w:val="00F9650E"/>
    <w:rsid w:val="00F97AA3"/>
    <w:rsid w:val="00FA063F"/>
    <w:rsid w:val="00FA0999"/>
    <w:rsid w:val="00FA0FB2"/>
    <w:rsid w:val="00FA10D8"/>
    <w:rsid w:val="00FA1138"/>
    <w:rsid w:val="00FA13B3"/>
    <w:rsid w:val="00FA151C"/>
    <w:rsid w:val="00FA1AFD"/>
    <w:rsid w:val="00FA2E13"/>
    <w:rsid w:val="00FA3D6D"/>
    <w:rsid w:val="00FA426A"/>
    <w:rsid w:val="00FA5BC9"/>
    <w:rsid w:val="00FA7D51"/>
    <w:rsid w:val="00FB009B"/>
    <w:rsid w:val="00FB02DF"/>
    <w:rsid w:val="00FB12C9"/>
    <w:rsid w:val="00FB1D89"/>
    <w:rsid w:val="00FB233C"/>
    <w:rsid w:val="00FB23AD"/>
    <w:rsid w:val="00FB3583"/>
    <w:rsid w:val="00FB4894"/>
    <w:rsid w:val="00FB4D6B"/>
    <w:rsid w:val="00FB642F"/>
    <w:rsid w:val="00FB6A04"/>
    <w:rsid w:val="00FB7F74"/>
    <w:rsid w:val="00FC0111"/>
    <w:rsid w:val="00FC0B05"/>
    <w:rsid w:val="00FC1104"/>
    <w:rsid w:val="00FC1259"/>
    <w:rsid w:val="00FC2C21"/>
    <w:rsid w:val="00FC4DC4"/>
    <w:rsid w:val="00FC5066"/>
    <w:rsid w:val="00FC519C"/>
    <w:rsid w:val="00FC56F3"/>
    <w:rsid w:val="00FC6274"/>
    <w:rsid w:val="00FC6DC1"/>
    <w:rsid w:val="00FC7486"/>
    <w:rsid w:val="00FC7E1C"/>
    <w:rsid w:val="00FD11AA"/>
    <w:rsid w:val="00FD11E7"/>
    <w:rsid w:val="00FD2B6B"/>
    <w:rsid w:val="00FD30FA"/>
    <w:rsid w:val="00FD393B"/>
    <w:rsid w:val="00FD4FCA"/>
    <w:rsid w:val="00FD581B"/>
    <w:rsid w:val="00FD5B06"/>
    <w:rsid w:val="00FD5E1A"/>
    <w:rsid w:val="00FD744E"/>
    <w:rsid w:val="00FD74B8"/>
    <w:rsid w:val="00FE13CA"/>
    <w:rsid w:val="00FE203A"/>
    <w:rsid w:val="00FE2537"/>
    <w:rsid w:val="00FE295A"/>
    <w:rsid w:val="00FE3172"/>
    <w:rsid w:val="00FE4297"/>
    <w:rsid w:val="00FE4D31"/>
    <w:rsid w:val="00FE5C24"/>
    <w:rsid w:val="00FE5D75"/>
    <w:rsid w:val="00FE65A6"/>
    <w:rsid w:val="00FE68D9"/>
    <w:rsid w:val="00FE7432"/>
    <w:rsid w:val="00FE7E42"/>
    <w:rsid w:val="00FF03D2"/>
    <w:rsid w:val="00FF0F96"/>
    <w:rsid w:val="00FF0FA7"/>
    <w:rsid w:val="00FF165D"/>
    <w:rsid w:val="00FF1BB2"/>
    <w:rsid w:val="00FF1DB5"/>
    <w:rsid w:val="00FF2CBD"/>
    <w:rsid w:val="00FF3565"/>
    <w:rsid w:val="00FF3E7E"/>
    <w:rsid w:val="00FF4EAE"/>
    <w:rsid w:val="00FF5157"/>
    <w:rsid w:val="00FF755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060,#003e00"/>
    </o:shapedefaults>
    <o:shapelayout v:ext="edit">
      <o:idmap v:ext="edit" data="1"/>
    </o:shapelayout>
  </w:shapeDefaults>
  <w:decimalSymbol w:val=","/>
  <w:listSeparator w:val=";"/>
  <w15:docId w15:val="{B8B7E4CF-58DD-497F-AD7D-E7EC8B0E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BA"/>
    <w:pPr>
      <w:spacing w:after="120"/>
      <w:jc w:val="both"/>
    </w:pPr>
    <w:rPr>
      <w:sz w:val="24"/>
      <w:szCs w:val="24"/>
    </w:rPr>
  </w:style>
  <w:style w:type="paragraph" w:styleId="10">
    <w:name w:val="heading 1"/>
    <w:next w:val="a"/>
    <w:link w:val="11"/>
    <w:qFormat/>
    <w:rsid w:val="00D01ABA"/>
    <w:pPr>
      <w:keepNext/>
      <w:keepLines/>
      <w:spacing w:before="60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next w:val="a"/>
    <w:link w:val="20"/>
    <w:qFormat/>
    <w:rsid w:val="00D01ABA"/>
    <w:pPr>
      <w:keepNext/>
      <w:keepLine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1ABA"/>
    <w:pPr>
      <w:keepNext/>
      <w:keepLines/>
      <w:ind w:firstLine="709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qFormat/>
    <w:rsid w:val="002337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C1A46"/>
    <w:pPr>
      <w:spacing w:before="240" w:after="60"/>
      <w:jc w:val="lef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FC0B0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0C1A4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D01ABA"/>
    <w:rPr>
      <w:rFonts w:ascii="Arial" w:hAnsi="Arial" w:cs="Arial"/>
      <w:bCs/>
      <w:i/>
      <w:sz w:val="24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2337F8"/>
    <w:rPr>
      <w:rFonts w:ascii="Calibri" w:eastAsia="Times New Roman" w:hAnsi="Calibri" w:cs="Times New Roman"/>
      <w:b/>
      <w:bCs/>
      <w:sz w:val="28"/>
      <w:szCs w:val="28"/>
    </w:rPr>
  </w:style>
  <w:style w:type="paragraph" w:styleId="12">
    <w:name w:val="toc 1"/>
    <w:basedOn w:val="a"/>
    <w:next w:val="a"/>
    <w:link w:val="13"/>
    <w:uiPriority w:val="39"/>
    <w:rsid w:val="00D01ABA"/>
    <w:pPr>
      <w:keepNext/>
      <w:keepLines/>
      <w:spacing w:before="240" w:after="0"/>
      <w:jc w:val="left"/>
    </w:pPr>
    <w:rPr>
      <w:b/>
      <w:sz w:val="28"/>
    </w:rPr>
  </w:style>
  <w:style w:type="character" w:customStyle="1" w:styleId="13">
    <w:name w:val="Оглавление 1 Знак"/>
    <w:link w:val="12"/>
    <w:rsid w:val="00D01ABA"/>
    <w:rPr>
      <w:b/>
      <w:sz w:val="28"/>
      <w:szCs w:val="24"/>
      <w:lang w:val="ru-RU" w:eastAsia="ru-RU" w:bidi="ar-SA"/>
    </w:rPr>
  </w:style>
  <w:style w:type="paragraph" w:styleId="31">
    <w:name w:val="toc 3"/>
    <w:basedOn w:val="a"/>
    <w:next w:val="a"/>
    <w:uiPriority w:val="39"/>
    <w:rsid w:val="009071FC"/>
    <w:pPr>
      <w:keepLines/>
      <w:pBdr>
        <w:left w:val="single" w:sz="12" w:space="4" w:color="808080"/>
      </w:pBdr>
      <w:tabs>
        <w:tab w:val="right" w:pos="11340"/>
      </w:tabs>
      <w:spacing w:before="40" w:after="0"/>
      <w:ind w:left="567" w:right="567"/>
    </w:pPr>
    <w:rPr>
      <w:noProof/>
    </w:rPr>
  </w:style>
  <w:style w:type="paragraph" w:styleId="21">
    <w:name w:val="toc 2"/>
    <w:basedOn w:val="a"/>
    <w:next w:val="a"/>
    <w:uiPriority w:val="39"/>
    <w:rsid w:val="00D01ABA"/>
    <w:pPr>
      <w:keepNext/>
      <w:keepLines/>
      <w:spacing w:before="60" w:after="0"/>
      <w:jc w:val="left"/>
    </w:pPr>
  </w:style>
  <w:style w:type="character" w:styleId="a3">
    <w:name w:val="Hyperlink"/>
    <w:uiPriority w:val="99"/>
    <w:rsid w:val="00D01ABA"/>
    <w:rPr>
      <w:color w:val="0000FF"/>
      <w:u w:val="single"/>
    </w:rPr>
  </w:style>
  <w:style w:type="table" w:styleId="a4">
    <w:name w:val="Table Grid"/>
    <w:basedOn w:val="a1"/>
    <w:rsid w:val="00D01ABA"/>
    <w:pPr>
      <w:spacing w:line="360" w:lineRule="auto"/>
      <w:ind w:left="1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 авторе"/>
    <w:basedOn w:val="a"/>
    <w:rsid w:val="00D01ABA"/>
    <w:pPr>
      <w:ind w:right="-55"/>
      <w:jc w:val="left"/>
    </w:pPr>
    <w:rPr>
      <w:color w:val="333333"/>
      <w:sz w:val="40"/>
      <w:szCs w:val="20"/>
    </w:rPr>
  </w:style>
  <w:style w:type="paragraph" w:customStyle="1" w:styleId="a6">
    <w:name w:val="Темы дня"/>
    <w:basedOn w:val="a"/>
    <w:rsid w:val="00D01ABA"/>
    <w:pPr>
      <w:keepLines/>
      <w:spacing w:after="240"/>
    </w:pPr>
    <w:rPr>
      <w:i/>
    </w:rPr>
  </w:style>
  <w:style w:type="paragraph" w:styleId="a7">
    <w:name w:val="Block Text"/>
    <w:basedOn w:val="a6"/>
    <w:rsid w:val="00D01ABA"/>
    <w:rPr>
      <w:bCs/>
    </w:rPr>
  </w:style>
  <w:style w:type="paragraph" w:customStyle="1" w:styleId="a8">
    <w:name w:val="Заголовок введения"/>
    <w:rsid w:val="00D01ABA"/>
    <w:pPr>
      <w:keepNext/>
      <w:keepLines/>
      <w:shd w:val="clear" w:color="auto" w:fill="C0C0C0"/>
      <w:spacing w:before="360" w:after="240"/>
    </w:pPr>
    <w:rPr>
      <w:rFonts w:cs="Arial"/>
      <w:b/>
      <w:bCs/>
      <w:sz w:val="24"/>
      <w:szCs w:val="26"/>
    </w:rPr>
  </w:style>
  <w:style w:type="paragraph" w:customStyle="1" w:styleId="a9">
    <w:name w:val="Публикации дня"/>
    <w:rsid w:val="00D01ABA"/>
    <w:pPr>
      <w:keepNext/>
      <w:keepLines/>
      <w:pageBreakBefore/>
      <w:shd w:val="clear" w:color="auto" w:fill="C0C0C0"/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a">
    <w:name w:val="Normal (Web)"/>
    <w:basedOn w:val="a"/>
    <w:link w:val="ab"/>
    <w:rsid w:val="002337F8"/>
    <w:pPr>
      <w:spacing w:before="100" w:beforeAutospacing="1" w:after="100" w:afterAutospacing="1" w:line="360" w:lineRule="auto"/>
      <w:ind w:left="1440"/>
      <w:jc w:val="left"/>
    </w:pPr>
    <w:rPr>
      <w:rFonts w:ascii="Verdana" w:eastAsia="Verdana" w:hAnsi="Verdana"/>
      <w:sz w:val="20"/>
      <w:szCs w:val="20"/>
    </w:rPr>
  </w:style>
  <w:style w:type="character" w:customStyle="1" w:styleId="ab">
    <w:name w:val="Обычный (веб) Знак"/>
    <w:link w:val="aa"/>
    <w:rsid w:val="002337F8"/>
    <w:rPr>
      <w:rFonts w:ascii="Verdana" w:eastAsia="Verdana" w:hAnsi="Verdana"/>
    </w:rPr>
  </w:style>
  <w:style w:type="paragraph" w:customStyle="1" w:styleId="ac">
    <w:name w:val="Текст документа"/>
    <w:basedOn w:val="aa"/>
    <w:link w:val="ad"/>
    <w:autoRedefine/>
    <w:rsid w:val="0089541B"/>
    <w:pPr>
      <w:spacing w:line="240" w:lineRule="auto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d">
    <w:name w:val="Текст документа Знак Знак"/>
    <w:link w:val="ac"/>
    <w:rsid w:val="0089541B"/>
    <w:rPr>
      <w:rFonts w:eastAsia="Verdana"/>
      <w:color w:val="000000"/>
      <w:sz w:val="24"/>
      <w:szCs w:val="24"/>
    </w:rPr>
  </w:style>
  <w:style w:type="paragraph" w:customStyle="1" w:styleId="22">
    <w:name w:val="Заглавие 2"/>
    <w:basedOn w:val="2"/>
    <w:autoRedefine/>
    <w:rsid w:val="002337F8"/>
    <w:pPr>
      <w:spacing w:before="960" w:after="60"/>
      <w:jc w:val="left"/>
    </w:pPr>
    <w:rPr>
      <w:b w:val="0"/>
      <w:i w:val="0"/>
      <w:sz w:val="32"/>
    </w:rPr>
  </w:style>
  <w:style w:type="paragraph" w:customStyle="1" w:styleId="ae">
    <w:name w:val="Похожие сообщения раздел"/>
    <w:basedOn w:val="a"/>
    <w:link w:val="Char"/>
    <w:rsid w:val="002337F8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link w:val="ae"/>
    <w:rsid w:val="002337F8"/>
    <w:rPr>
      <w:rFonts w:ascii="Arial" w:eastAsia="Verdana" w:hAnsi="Arial"/>
      <w:b/>
      <w:bCs/>
      <w:color w:val="808080"/>
      <w:sz w:val="24"/>
    </w:rPr>
  </w:style>
  <w:style w:type="paragraph" w:customStyle="1" w:styleId="af">
    <w:name w:val="Похожие сообщения заголовок"/>
    <w:basedOn w:val="ae"/>
    <w:link w:val="Char0"/>
    <w:rsid w:val="00874788"/>
    <w:pPr>
      <w:spacing w:after="240" w:line="240" w:lineRule="auto"/>
      <w:jc w:val="left"/>
      <w:outlineLvl w:val="4"/>
    </w:pPr>
  </w:style>
  <w:style w:type="character" w:customStyle="1" w:styleId="Char0">
    <w:name w:val="Похожие сообщения заголовок Char"/>
    <w:link w:val="af"/>
    <w:rsid w:val="00874788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character" w:customStyle="1" w:styleId="23">
    <w:name w:val="Источник и дата 2"/>
    <w:rsid w:val="002337F8"/>
    <w:rPr>
      <w:rFonts w:ascii="Arial" w:hAnsi="Arial"/>
      <w:sz w:val="16"/>
      <w:lang w:val="ru-RU" w:eastAsia="ru-RU" w:bidi="ar-SA"/>
    </w:rPr>
  </w:style>
  <w:style w:type="paragraph" w:customStyle="1" w:styleId="41">
    <w:name w:val="Заглавие 4"/>
    <w:basedOn w:val="4"/>
    <w:link w:val="4CharChar"/>
    <w:autoRedefine/>
    <w:rsid w:val="00DE13D7"/>
    <w:pPr>
      <w:keepLines/>
      <w:spacing w:before="360" w:line="360" w:lineRule="auto"/>
    </w:pPr>
    <w:rPr>
      <w:rFonts w:ascii="Arial" w:hAnsi="Arial"/>
      <w:sz w:val="24"/>
    </w:rPr>
  </w:style>
  <w:style w:type="character" w:customStyle="1" w:styleId="4CharChar">
    <w:name w:val="Заглавие 4 Char Char"/>
    <w:link w:val="41"/>
    <w:rsid w:val="00DE13D7"/>
    <w:rPr>
      <w:rFonts w:ascii="Arial" w:eastAsia="Times New Roman" w:hAnsi="Arial" w:cs="Times New Roman"/>
      <w:b/>
      <w:bCs/>
      <w:sz w:val="24"/>
      <w:szCs w:val="28"/>
    </w:rPr>
  </w:style>
  <w:style w:type="paragraph" w:styleId="af0">
    <w:name w:val="Document Map"/>
    <w:basedOn w:val="a"/>
    <w:link w:val="af1"/>
    <w:rsid w:val="002A12F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1">
    <w:name w:val="Схема документа Знак"/>
    <w:link w:val="af0"/>
    <w:rsid w:val="00A0290C"/>
    <w:rPr>
      <w:rFonts w:ascii="Tahoma" w:hAnsi="Tahoma" w:cs="Tahoma"/>
      <w:shd w:val="clear" w:color="auto" w:fill="000080"/>
    </w:rPr>
  </w:style>
  <w:style w:type="paragraph" w:styleId="af2">
    <w:name w:val="header"/>
    <w:basedOn w:val="a"/>
    <w:link w:val="af3"/>
    <w:rsid w:val="002A12F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A0290C"/>
    <w:rPr>
      <w:sz w:val="24"/>
      <w:szCs w:val="24"/>
    </w:rPr>
  </w:style>
  <w:style w:type="paragraph" w:styleId="af4">
    <w:name w:val="footer"/>
    <w:basedOn w:val="a"/>
    <w:link w:val="af5"/>
    <w:uiPriority w:val="99"/>
    <w:rsid w:val="002A12F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0290C"/>
    <w:rPr>
      <w:sz w:val="24"/>
      <w:szCs w:val="24"/>
    </w:rPr>
  </w:style>
  <w:style w:type="paragraph" w:styleId="42">
    <w:name w:val="toc 4"/>
    <w:basedOn w:val="a"/>
    <w:next w:val="a"/>
    <w:autoRedefine/>
    <w:uiPriority w:val="39"/>
    <w:rsid w:val="00684C00"/>
    <w:pPr>
      <w:ind w:left="720"/>
    </w:pPr>
  </w:style>
  <w:style w:type="paragraph" w:customStyle="1" w:styleId="af6">
    <w:name w:val="Заголовок раздела"/>
    <w:basedOn w:val="10"/>
    <w:next w:val="a"/>
    <w:rsid w:val="000912D7"/>
    <w:pPr>
      <w:shd w:val="clear" w:color="auto" w:fill="C0C0C0"/>
    </w:pPr>
  </w:style>
  <w:style w:type="paragraph" w:customStyle="1" w:styleId="25">
    <w:name w:val="Стиль Заголовок раздела + Узор: Нет (Серый 25%)"/>
    <w:basedOn w:val="af6"/>
    <w:rsid w:val="000912D7"/>
    <w:pPr>
      <w:shd w:val="clear" w:color="auto" w:fill="008000"/>
    </w:pPr>
    <w:rPr>
      <w:shd w:val="clear" w:color="auto" w:fill="C0C0C0"/>
    </w:rPr>
  </w:style>
  <w:style w:type="paragraph" w:styleId="5">
    <w:name w:val="toc 5"/>
    <w:basedOn w:val="a"/>
    <w:next w:val="a"/>
    <w:uiPriority w:val="39"/>
    <w:rsid w:val="003F1B8B"/>
    <w:pPr>
      <w:ind w:left="960"/>
    </w:pPr>
    <w:rPr>
      <w:sz w:val="20"/>
    </w:rPr>
  </w:style>
  <w:style w:type="paragraph" w:customStyle="1" w:styleId="50">
    <w:name w:val="Заглавие 5"/>
    <w:basedOn w:val="a"/>
    <w:link w:val="51"/>
    <w:rsid w:val="00DE13D7"/>
    <w:pPr>
      <w:keepNext/>
      <w:keepLines/>
      <w:pBdr>
        <w:left w:val="thinThickSmallGap" w:sz="18" w:space="4" w:color="808080"/>
      </w:pBdr>
      <w:spacing w:after="0" w:line="360" w:lineRule="auto"/>
      <w:ind w:left="851"/>
      <w:outlineLvl w:val="4"/>
    </w:pPr>
    <w:rPr>
      <w:rFonts w:ascii="Arial" w:hAnsi="Arial"/>
      <w:i/>
      <w:sz w:val="16"/>
    </w:rPr>
  </w:style>
  <w:style w:type="character" w:customStyle="1" w:styleId="51">
    <w:name w:val="Заглавие 5 Знак"/>
    <w:link w:val="50"/>
    <w:rsid w:val="00DE13D7"/>
    <w:rPr>
      <w:rFonts w:ascii="Arial" w:hAnsi="Arial"/>
      <w:i/>
      <w:sz w:val="16"/>
      <w:szCs w:val="24"/>
    </w:rPr>
  </w:style>
  <w:style w:type="paragraph" w:styleId="af7">
    <w:name w:val="Title"/>
    <w:basedOn w:val="a"/>
    <w:next w:val="a"/>
    <w:link w:val="af8"/>
    <w:qFormat/>
    <w:rsid w:val="00A029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A0290C"/>
    <w:rPr>
      <w:rFonts w:ascii="Cambria" w:hAnsi="Cambria"/>
      <w:b/>
      <w:bCs/>
      <w:kern w:val="28"/>
      <w:sz w:val="32"/>
      <w:szCs w:val="32"/>
    </w:rPr>
  </w:style>
  <w:style w:type="character" w:styleId="af9">
    <w:name w:val="Strong"/>
    <w:uiPriority w:val="22"/>
    <w:qFormat/>
    <w:rsid w:val="00A0290C"/>
    <w:rPr>
      <w:rFonts w:ascii="Verdana" w:eastAsia="Verdana" w:hAnsi="Verdana" w:hint="default"/>
      <w:b/>
      <w:bCs/>
      <w:sz w:val="20"/>
      <w:szCs w:val="20"/>
    </w:rPr>
  </w:style>
  <w:style w:type="character" w:styleId="afa">
    <w:name w:val="Emphasis"/>
    <w:qFormat/>
    <w:rsid w:val="00A0290C"/>
    <w:rPr>
      <w:i/>
      <w:iCs/>
    </w:rPr>
  </w:style>
  <w:style w:type="character" w:customStyle="1" w:styleId="afb">
    <w:name w:val="Основной текст Знак"/>
    <w:link w:val="afc"/>
    <w:rsid w:val="00A0290C"/>
    <w:rPr>
      <w:rFonts w:ascii="Verdana" w:hAnsi="Verdana"/>
      <w:szCs w:val="24"/>
    </w:rPr>
  </w:style>
  <w:style w:type="paragraph" w:styleId="afc">
    <w:name w:val="Body Text"/>
    <w:basedOn w:val="a"/>
    <w:link w:val="afb"/>
    <w:rsid w:val="00A0290C"/>
    <w:pPr>
      <w:spacing w:after="0"/>
    </w:pPr>
    <w:rPr>
      <w:rFonts w:ascii="Verdana" w:hAnsi="Verdana"/>
      <w:sz w:val="20"/>
    </w:rPr>
  </w:style>
  <w:style w:type="paragraph" w:customStyle="1" w:styleId="afd">
    <w:name w:val="Источник и дата"/>
    <w:basedOn w:val="a"/>
    <w:link w:val="Char1"/>
    <w:autoRedefine/>
    <w:rsid w:val="00A0290C"/>
    <w:pPr>
      <w:spacing w:before="720"/>
      <w:ind w:left="1440"/>
      <w:jc w:val="left"/>
    </w:pPr>
    <w:rPr>
      <w:rFonts w:ascii="Arial" w:hAnsi="Arial"/>
      <w:sz w:val="16"/>
      <w:szCs w:val="20"/>
    </w:rPr>
  </w:style>
  <w:style w:type="character" w:customStyle="1" w:styleId="Char1">
    <w:name w:val="Источник и дата Char"/>
    <w:link w:val="afd"/>
    <w:rsid w:val="00A0290C"/>
    <w:rPr>
      <w:rFonts w:ascii="Arial" w:hAnsi="Arial"/>
      <w:sz w:val="16"/>
    </w:rPr>
  </w:style>
  <w:style w:type="paragraph" w:customStyle="1" w:styleId="32">
    <w:name w:val="Заглавие 3"/>
    <w:basedOn w:val="3"/>
    <w:link w:val="3Char"/>
    <w:autoRedefine/>
    <w:rsid w:val="00A0290C"/>
    <w:pPr>
      <w:spacing w:before="240"/>
      <w:ind w:firstLine="0"/>
      <w:jc w:val="left"/>
    </w:pPr>
    <w:rPr>
      <w:rFonts w:eastAsia="Verdana"/>
      <w:sz w:val="28"/>
    </w:rPr>
  </w:style>
  <w:style w:type="character" w:customStyle="1" w:styleId="3Char">
    <w:name w:val="Заглавие 3 Char"/>
    <w:link w:val="32"/>
    <w:rsid w:val="00A0290C"/>
    <w:rPr>
      <w:rFonts w:ascii="Arial" w:eastAsia="Verdana" w:hAnsi="Arial" w:cs="Arial"/>
      <w:bCs/>
      <w:i/>
      <w:sz w:val="28"/>
      <w:szCs w:val="26"/>
      <w:lang w:val="ru-RU" w:eastAsia="ru-RU" w:bidi="ar-SA"/>
    </w:rPr>
  </w:style>
  <w:style w:type="paragraph" w:customStyle="1" w:styleId="afe">
    <w:name w:val="Подсветка"/>
    <w:basedOn w:val="ac"/>
    <w:link w:val="Char2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Char2">
    <w:name w:val="Подсветка Char"/>
    <w:link w:val="afe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customStyle="1" w:styleId="1">
    <w:name w:val="Список1"/>
    <w:basedOn w:val="ac"/>
    <w:autoRedefine/>
    <w:rsid w:val="00A0290C"/>
    <w:pPr>
      <w:numPr>
        <w:numId w:val="12"/>
      </w:numPr>
      <w:spacing w:line="360" w:lineRule="auto"/>
      <w:jc w:val="left"/>
    </w:pPr>
    <w:rPr>
      <w:rFonts w:ascii="Arial" w:hAnsi="Arial"/>
      <w:iCs/>
      <w:sz w:val="20"/>
      <w:szCs w:val="20"/>
    </w:rPr>
  </w:style>
  <w:style w:type="paragraph" w:customStyle="1" w:styleId="aff">
    <w:name w:val="Пояснения"/>
    <w:basedOn w:val="ac"/>
    <w:link w:val="Char3"/>
    <w:autoRedefine/>
    <w:rsid w:val="00A0290C"/>
    <w:pPr>
      <w:spacing w:before="120" w:beforeAutospacing="0" w:after="120" w:afterAutospacing="0" w:line="360" w:lineRule="auto"/>
      <w:jc w:val="left"/>
    </w:pPr>
    <w:rPr>
      <w:rFonts w:ascii="Arial" w:hAnsi="Arial"/>
    </w:rPr>
  </w:style>
  <w:style w:type="character" w:customStyle="1" w:styleId="Char3">
    <w:name w:val="Пояснения Char"/>
    <w:link w:val="aff"/>
    <w:rsid w:val="00A0290C"/>
    <w:rPr>
      <w:rFonts w:ascii="Arial" w:eastAsia="Verdana" w:hAnsi="Arial"/>
      <w:color w:val="000000"/>
      <w:sz w:val="24"/>
      <w:szCs w:val="24"/>
      <w:lang w:val="ru-RU" w:eastAsia="ru-RU" w:bidi="ar-SA"/>
    </w:rPr>
  </w:style>
  <w:style w:type="paragraph" w:customStyle="1" w:styleId="aff0">
    <w:name w:val="Похожие сообщения источник и дата"/>
    <w:basedOn w:val="14"/>
    <w:link w:val="Char4"/>
    <w:autoRedefine/>
    <w:rsid w:val="00A0290C"/>
  </w:style>
  <w:style w:type="paragraph" w:customStyle="1" w:styleId="14">
    <w:name w:val="Похожие сообщения источник и дата1"/>
    <w:basedOn w:val="ae"/>
    <w:link w:val="1CharChar"/>
    <w:autoRedefine/>
    <w:rsid w:val="00A0290C"/>
    <w:pPr>
      <w:jc w:val="left"/>
    </w:pPr>
    <w:rPr>
      <w:sz w:val="16"/>
    </w:rPr>
  </w:style>
  <w:style w:type="character" w:customStyle="1" w:styleId="1CharChar">
    <w:name w:val="Похожие сообщения источник и дата1 Char Char"/>
    <w:link w:val="14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Char4">
    <w:name w:val="Похожие сообщения источник и дата Char"/>
    <w:link w:val="aff0"/>
    <w:rsid w:val="00A0290C"/>
    <w:rPr>
      <w:rFonts w:ascii="Arial" w:eastAsia="Verdana" w:hAnsi="Arial"/>
      <w:b/>
      <w:bCs/>
      <w:color w:val="808080"/>
      <w:sz w:val="16"/>
    </w:rPr>
  </w:style>
  <w:style w:type="character" w:customStyle="1" w:styleId="aff1">
    <w:name w:val="Текст выноски Знак"/>
    <w:link w:val="aff2"/>
    <w:rsid w:val="00A0290C"/>
    <w:rPr>
      <w:rFonts w:ascii="Tahoma" w:hAnsi="Tahoma" w:cs="Tahoma"/>
      <w:sz w:val="16"/>
      <w:szCs w:val="16"/>
    </w:rPr>
  </w:style>
  <w:style w:type="paragraph" w:styleId="aff2">
    <w:name w:val="Balloon Text"/>
    <w:basedOn w:val="a"/>
    <w:link w:val="aff1"/>
    <w:rsid w:val="00A0290C"/>
    <w:pPr>
      <w:spacing w:after="0" w:line="360" w:lineRule="auto"/>
      <w:ind w:left="1440"/>
      <w:jc w:val="left"/>
    </w:pPr>
    <w:rPr>
      <w:rFonts w:ascii="Tahoma" w:hAnsi="Tahoma"/>
      <w:sz w:val="16"/>
      <w:szCs w:val="16"/>
    </w:rPr>
  </w:style>
  <w:style w:type="paragraph" w:customStyle="1" w:styleId="aff3">
    <w:name w:val="Содержание"/>
    <w:autoRedefine/>
    <w:rsid w:val="00A0290C"/>
    <w:pPr>
      <w:keepNext/>
      <w:keepLines/>
      <w:pageBreakBefore/>
      <w:spacing w:after="480"/>
    </w:pPr>
    <w:rPr>
      <w:rFonts w:ascii="Arial" w:eastAsia="Verdana" w:hAnsi="Arial" w:cs="Arial"/>
      <w:bCs/>
      <w:color w:val="333333"/>
      <w:kern w:val="32"/>
      <w:sz w:val="40"/>
      <w:szCs w:val="32"/>
    </w:rPr>
  </w:style>
  <w:style w:type="paragraph" w:customStyle="1" w:styleId="-">
    <w:name w:val="Текст документа - Выделенный"/>
    <w:basedOn w:val="ac"/>
    <w:link w:val="-Char"/>
    <w:rsid w:val="00A0290C"/>
    <w:pPr>
      <w:spacing w:line="360" w:lineRule="auto"/>
      <w:jc w:val="left"/>
    </w:pPr>
    <w:rPr>
      <w:rFonts w:ascii="Arial" w:hAnsi="Arial"/>
      <w:b/>
      <w:bCs/>
    </w:rPr>
  </w:style>
  <w:style w:type="character" w:customStyle="1" w:styleId="-Char">
    <w:name w:val="Текст документа - Выделенный Char"/>
    <w:link w:val="-"/>
    <w:rsid w:val="00A0290C"/>
    <w:rPr>
      <w:rFonts w:ascii="Arial" w:eastAsia="Verdana" w:hAnsi="Arial"/>
      <w:b/>
      <w:bCs/>
      <w:color w:val="000000"/>
      <w:sz w:val="24"/>
      <w:szCs w:val="24"/>
      <w:lang w:val="ru-RU" w:eastAsia="ru-RU" w:bidi="ar-SA"/>
    </w:rPr>
  </w:style>
  <w:style w:type="paragraph" w:styleId="aff4">
    <w:name w:val="Subtitle"/>
    <w:basedOn w:val="a"/>
    <w:next w:val="a"/>
    <w:link w:val="aff5"/>
    <w:qFormat/>
    <w:rsid w:val="00A0290C"/>
    <w:pPr>
      <w:spacing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rsid w:val="00A0290C"/>
    <w:rPr>
      <w:rFonts w:ascii="Cambria" w:hAnsi="Cambria"/>
      <w:sz w:val="24"/>
      <w:szCs w:val="24"/>
    </w:rPr>
  </w:style>
  <w:style w:type="paragraph" w:customStyle="1" w:styleId="251">
    <w:name w:val="Стиль Заголовок раздела + Узор: Нет (Серый 25%)1"/>
    <w:basedOn w:val="af6"/>
    <w:rsid w:val="009D66A1"/>
    <w:pPr>
      <w:pageBreakBefore/>
    </w:pPr>
    <w:rPr>
      <w:shd w:val="clear" w:color="auto" w:fill="C0C0C0"/>
    </w:rPr>
  </w:style>
  <w:style w:type="paragraph" w:styleId="6">
    <w:name w:val="toc 6"/>
    <w:basedOn w:val="a"/>
    <w:next w:val="a"/>
    <w:autoRedefine/>
    <w:uiPriority w:val="39"/>
    <w:unhideWhenUsed/>
    <w:rsid w:val="0010169E"/>
    <w:pPr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10169E"/>
    <w:pPr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0169E"/>
    <w:pPr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0169E"/>
    <w:pPr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doubtitle">
    <w:name w:val="doubtitle"/>
    <w:basedOn w:val="a"/>
    <w:rsid w:val="00E1422B"/>
    <w:pPr>
      <w:spacing w:before="105" w:after="105"/>
      <w:jc w:val="left"/>
    </w:pPr>
    <w:rPr>
      <w:rFonts w:ascii="Arial" w:hAnsi="Arial" w:cs="Arial"/>
      <w:color w:val="999999"/>
      <w:sz w:val="21"/>
      <w:szCs w:val="21"/>
    </w:rPr>
  </w:style>
  <w:style w:type="paragraph" w:customStyle="1" w:styleId="doubcontent">
    <w:name w:val="doubcontent"/>
    <w:basedOn w:val="a"/>
    <w:rsid w:val="0009547A"/>
    <w:pPr>
      <w:spacing w:before="150" w:after="150"/>
      <w:jc w:val="left"/>
    </w:pPr>
    <w:rPr>
      <w:rFonts w:ascii="Arial" w:hAnsi="Arial" w:cs="Arial"/>
      <w:color w:val="000000"/>
      <w:sz w:val="15"/>
      <w:szCs w:val="15"/>
    </w:rPr>
  </w:style>
  <w:style w:type="character" w:customStyle="1" w:styleId="doubsourcename">
    <w:name w:val="doubsourcename"/>
    <w:basedOn w:val="a0"/>
    <w:rsid w:val="0009547A"/>
  </w:style>
  <w:style w:type="character" w:customStyle="1" w:styleId="doubdocumentdate">
    <w:name w:val="doubdocumentdate"/>
    <w:basedOn w:val="a0"/>
    <w:rsid w:val="0009547A"/>
  </w:style>
  <w:style w:type="character" w:customStyle="1" w:styleId="doubheader1">
    <w:name w:val="doubheader1"/>
    <w:rsid w:val="0009547A"/>
    <w:rPr>
      <w:b/>
      <w:bCs/>
      <w:sz w:val="17"/>
      <w:szCs w:val="17"/>
    </w:rPr>
  </w:style>
  <w:style w:type="character" w:styleId="aff6">
    <w:name w:val="FollowedHyperlink"/>
    <w:rsid w:val="001B6274"/>
    <w:rPr>
      <w:color w:val="800080"/>
      <w:u w:val="single"/>
    </w:rPr>
  </w:style>
  <w:style w:type="character" w:customStyle="1" w:styleId="apple-converted-space">
    <w:name w:val="apple-converted-space"/>
    <w:rsid w:val="0051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0;-&#1082;&#1086;&#1085;&#1089;&#1072;&#1083;&#1090;&#1080;&#1085;&#1075;.&#1088;&#1092;/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pnp.ru/social/pensii-rossiyan-rastut-no-otstayut-ot-mezhdunarodnykh-norm.html" TargetMode="External"/><Relationship Id="rId26" Type="http://schemas.openxmlformats.org/officeDocument/2006/relationships/hyperlink" Target="https://fedpress.ru/news/77/society/3272959" TargetMode="External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www.akm.ru/press/sfr_perekhodit_na_novye_pravila_obmena_elektronnymi_dokumentami_s_rabotodatelyami" TargetMode="External"/><Relationship Id="rId34" Type="http://schemas.openxmlformats.org/officeDocument/2006/relationships/hyperlink" Target="https://sm.news/news/20231009/475851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www.kommersant.ru/doc/6266585" TargetMode="External"/><Relationship Id="rId25" Type="http://schemas.openxmlformats.org/officeDocument/2006/relationships/hyperlink" Target="https://primpress.ru/article/105711" TargetMode="External"/><Relationship Id="rId33" Type="http://schemas.openxmlformats.org/officeDocument/2006/relationships/hyperlink" Target="https://rossaprimavera.ru/news/6d0fa6a2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pbroker.ru/?p=75921" TargetMode="External"/><Relationship Id="rId20" Type="http://schemas.openxmlformats.org/officeDocument/2006/relationships/hyperlink" Target="https://tass.ru/ekonomika/18966607" TargetMode="External"/><Relationship Id="rId29" Type="http://schemas.openxmlformats.org/officeDocument/2006/relationships/hyperlink" Target="https://kazpravda.kz/n/o-snizhenii-pensionnogo-vozrasta-shahteram-vyskazalas-zhakupova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news.ru/economics/stalo-izvestno-kak-sokratyat-doplaty-k-pensiyam-v-sleduyushie-tri-goda/" TargetMode="External"/><Relationship Id="rId32" Type="http://schemas.openxmlformats.org/officeDocument/2006/relationships/hyperlink" Target="https://rossaprimavera.ru/news/2dd04286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journal.tinkoff.ru/news/npf-profit-2023/" TargetMode="External"/><Relationship Id="rId23" Type="http://schemas.openxmlformats.org/officeDocument/2006/relationships/hyperlink" Target="https://abnews.ru/news/2023/10/10/pensii-v-rf-vyrastut-eshhe-na-20" TargetMode="External"/><Relationship Id="rId28" Type="http://schemas.openxmlformats.org/officeDocument/2006/relationships/hyperlink" Target="https://belmarket.by/news/news-54287.html" TargetMode="External"/><Relationship Id="rId36" Type="http://schemas.openxmlformats.org/officeDocument/2006/relationships/header" Target="header2.xml"/><Relationship Id="rId10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9" Type="http://schemas.openxmlformats.org/officeDocument/2006/relationships/hyperlink" Target="https://www.pnp.ru/social/shkolkina-razrabotala-zakonoproekt-o-dopolnitelnoy-socpodderzhke-opekunov.html" TargetMode="External"/><Relationship Id="rId31" Type="http://schemas.openxmlformats.org/officeDocument/2006/relationships/hyperlink" Target="https://www.akchabar.kg/ru/article/economy/socfond-protiv-ispolzovaniya-sredstv-npf-na-pokupku-zhilya-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s://konkurent.ru/article/62458" TargetMode="External"/><Relationship Id="rId27" Type="http://schemas.openxmlformats.org/officeDocument/2006/relationships/hyperlink" Target="https://pensnews.ru/article/9758" TargetMode="External"/><Relationship Id="rId30" Type="http://schemas.openxmlformats.org/officeDocument/2006/relationships/hyperlink" Target="https://total.kz/ru/news/finansi/pensionnie_aktivi_kazahstantsev_virosli_na_177_v_2023_godu_date_2023_10_10_17_06_26" TargetMode="External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apf.mail.ru/cgi-bin/readmsg/%D0%9B%D0%BE%D0%B3%D0%BE%D1%82%D0%B8%D0%BF.PNG?id=14089677830000000986;0;1&amp;x-email=natulek_8@mail.ru&amp;exif=1&amp;bs=4924&amp;bl=52781&amp;ct=image/png&amp;cn=%D0%9B%D0%BE%D0%B3%D0%BE%D1%82%D0%B8%D0%BF.PNG&amp;cte=base64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45</Pages>
  <Words>14915</Words>
  <Characters>85019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И-Консалтинг</vt:lpstr>
    </vt:vector>
  </TitlesOfParts>
  <Company>SPecialiST RePack</Company>
  <LinksUpToDate>false</LinksUpToDate>
  <CharactersWithSpaces>99735</CharactersWithSpaces>
  <SharedDoc>false</SharedDoc>
  <HLinks>
    <vt:vector size="126" baseType="variant"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_Toc417636952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_Toc417636951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_Toc417636950</vt:lpwstr>
      </vt:variant>
      <vt:variant>
        <vt:i4>1179705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_Toc417636949</vt:lpwstr>
      </vt:variant>
      <vt:variant>
        <vt:i4>1179705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_Toc417636948</vt:lpwstr>
      </vt:variant>
      <vt:variant>
        <vt:i4>1179705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_Toc417636947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_Toc417636946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_Toc417636945</vt:lpwstr>
      </vt:variant>
      <vt:variant>
        <vt:i4>1179705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_Toc417636944</vt:lpwstr>
      </vt:variant>
      <vt:variant>
        <vt:i4>1179705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_Toc417636943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_Toc417636942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_Toc417636941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_Toc417636940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_Toc417636939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_Toc417636938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_Toc417636937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_Toc417636936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_Toc417636935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_Toc417636934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_Toc417636933</vt:lpwstr>
      </vt:variant>
      <vt:variant>
        <vt:i4>70320171</vt:i4>
      </vt:variant>
      <vt:variant>
        <vt:i4>0</vt:i4>
      </vt:variant>
      <vt:variant>
        <vt:i4>0</vt:i4>
      </vt:variant>
      <vt:variant>
        <vt:i4>5</vt:i4>
      </vt:variant>
      <vt:variant>
        <vt:lpwstr>http://и-консалтинг.рф/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И-Консалтинг</dc:title>
  <dc:subject>И-Консалтинг</dc:subject>
  <dc:creator>И-Консалтинг</dc:creator>
  <cp:keywords>И-Консалтинг</cp:keywords>
  <cp:lastModifiedBy>Тарасов Андрей Николаевич</cp:lastModifiedBy>
  <cp:revision>22</cp:revision>
  <cp:lastPrinted>2009-04-02T10:14:00Z</cp:lastPrinted>
  <dcterms:created xsi:type="dcterms:W3CDTF">2023-10-04T10:07:00Z</dcterms:created>
  <dcterms:modified xsi:type="dcterms:W3CDTF">2023-10-11T05:34:00Z</dcterms:modified>
  <cp:category>И-Консалтинг</cp:category>
  <cp:contentStatus>И-Консалтинг</cp:contentStatus>
</cp:coreProperties>
</file>