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F7" w:rsidRDefault="00312DB7" w:rsidP="00312DB7">
      <w:pPr>
        <w:jc w:val="right"/>
      </w:pPr>
      <w:r>
        <w:t xml:space="preserve"> </w:t>
      </w:r>
    </w:p>
    <w:p w:rsidR="007812CF" w:rsidRDefault="007812CF" w:rsidP="007812CF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C59AA"/>
          <w:kern w:val="36"/>
          <w:sz w:val="32"/>
          <w:szCs w:val="32"/>
        </w:rPr>
      </w:pPr>
      <w:r w:rsidRPr="007812CF">
        <w:rPr>
          <w:rFonts w:ascii="Arial" w:eastAsia="Times New Roman" w:hAnsi="Arial" w:cs="Arial"/>
          <w:color w:val="0C59AA"/>
          <w:kern w:val="36"/>
          <w:sz w:val="32"/>
          <w:szCs w:val="32"/>
        </w:rPr>
        <w:t xml:space="preserve">Международная конференция </w:t>
      </w:r>
    </w:p>
    <w:p w:rsidR="007812CF" w:rsidRPr="007812CF" w:rsidRDefault="007812CF" w:rsidP="007812CF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C59AA"/>
          <w:kern w:val="36"/>
          <w:sz w:val="32"/>
          <w:szCs w:val="32"/>
        </w:rPr>
      </w:pPr>
      <w:r w:rsidRPr="007812CF">
        <w:rPr>
          <w:rFonts w:ascii="Arial" w:eastAsia="Times New Roman" w:hAnsi="Arial" w:cs="Arial"/>
          <w:color w:val="0C59AA"/>
          <w:kern w:val="36"/>
          <w:sz w:val="32"/>
          <w:szCs w:val="32"/>
        </w:rPr>
        <w:t>«Пенсионные накопления - стратегический ресурс для развития российской экономики»</w:t>
      </w:r>
    </w:p>
    <w:p w:rsidR="00312DB7" w:rsidRDefault="00312DB7" w:rsidP="00312DB7">
      <w:pPr>
        <w:jc w:val="right"/>
      </w:pPr>
    </w:p>
    <w:p w:rsidR="00312DB7" w:rsidRDefault="008E6479" w:rsidP="007812CF">
      <w:pPr>
        <w:jc w:val="center"/>
      </w:pPr>
      <w:r w:rsidRPr="00B6374E">
        <w:t>Проект резолюции конференции НАПФ по инфраструктурным облигациям</w:t>
      </w:r>
    </w:p>
    <w:p w:rsidR="008E6479" w:rsidRDefault="008E6479" w:rsidP="008E6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01" w:rsidRPr="007812CF" w:rsidRDefault="008E6479" w:rsidP="007812C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12C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812CF" w:rsidRPr="007812CF">
        <w:rPr>
          <w:rFonts w:ascii="Times New Roman" w:eastAsia="Times New Roman" w:hAnsi="Times New Roman" w:cs="Times New Roman"/>
          <w:sz w:val="24"/>
          <w:szCs w:val="24"/>
        </w:rPr>
        <w:t>14-15</w:t>
      </w:r>
      <w:r w:rsidRPr="007812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12CF" w:rsidRPr="007812CF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7812CF">
        <w:rPr>
          <w:rFonts w:ascii="Times New Roman" w:eastAsia="Times New Roman" w:hAnsi="Times New Roman" w:cs="Times New Roman"/>
          <w:sz w:val="24"/>
          <w:szCs w:val="24"/>
        </w:rPr>
        <w:t xml:space="preserve">2013г. состоялась </w:t>
      </w:r>
      <w:r w:rsidR="007812CF" w:rsidRPr="007812CF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 w:rsidRPr="007812CF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="007812CF" w:rsidRPr="007812CF">
        <w:rPr>
          <w:rFonts w:ascii="Times New Roman" w:eastAsia="Times New Roman" w:hAnsi="Times New Roman" w:cs="Times New Roman"/>
          <w:sz w:val="24"/>
          <w:szCs w:val="24"/>
        </w:rPr>
        <w:t xml:space="preserve"> «Пенсионные накопления - стратегический ресурс для развития российской экономики»</w:t>
      </w:r>
      <w:r w:rsidR="009C4001" w:rsidRPr="007812CF">
        <w:rPr>
          <w:rFonts w:ascii="Times New Roman" w:eastAsia="Times New Roman" w:hAnsi="Times New Roman" w:cs="Times New Roman"/>
          <w:sz w:val="24"/>
          <w:szCs w:val="24"/>
        </w:rPr>
        <w:t xml:space="preserve">», организованная УМИЦ НАПФ, </w:t>
      </w:r>
      <w:r w:rsidRPr="0078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0D4" w:rsidRPr="007812CF"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="009C4001" w:rsidRPr="007812CF">
        <w:rPr>
          <w:rFonts w:ascii="Times New Roman" w:eastAsia="Times New Roman" w:hAnsi="Times New Roman" w:cs="Times New Roman"/>
          <w:sz w:val="24"/>
          <w:szCs w:val="24"/>
        </w:rPr>
        <w:t xml:space="preserve"> работы которой, основное внимание было уделено вопросу разработки новых и развития действующих инструментов инфраструктурного финансирования. В частности, в ходе работы конференции докладчики не раз в своих выступлениях ссылались на необходимость появления в России таких инструментов инвестирования, как инфраструктурные облигации.</w:t>
      </w:r>
    </w:p>
    <w:p w:rsidR="00945714" w:rsidRPr="00945714" w:rsidRDefault="00945714" w:rsidP="009457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5714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социальную значимость объектов инвестирования с точки зрения текущих потребностей (обеспечение функционирования государственных институтов, создание рабочих мест, востребованность производства и т. п.), а также важности развития национальной экономики и улучшения качества жизни населения (строительство и реконструкция дорог, путей сообщения, сетей передачи электроэнергии, аэропортов, образовательных учреждений, больниц и иных инфраструктурных объектов), государство и частный капитал </w:t>
      </w:r>
      <w:r w:rsidR="009C4001">
        <w:rPr>
          <w:rFonts w:ascii="Times New Roman" w:eastAsia="Times New Roman" w:hAnsi="Times New Roman" w:cs="Times New Roman"/>
          <w:sz w:val="24"/>
          <w:szCs w:val="24"/>
        </w:rPr>
        <w:t>должны объединять</w:t>
      </w:r>
      <w:r w:rsidRPr="00945714">
        <w:rPr>
          <w:rFonts w:ascii="Times New Roman" w:eastAsia="Times New Roman" w:hAnsi="Times New Roman" w:cs="Times New Roman"/>
          <w:sz w:val="24"/>
          <w:szCs w:val="24"/>
        </w:rPr>
        <w:t xml:space="preserve"> свои усилия</w:t>
      </w:r>
      <w:proofErr w:type="gramEnd"/>
      <w:r w:rsidRPr="00945714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целей. И такое объединение можно осуществлять на взаимовыгодных, рыночных условиях.</w:t>
      </w:r>
    </w:p>
    <w:p w:rsidR="00312DB7" w:rsidRDefault="00312DB7" w:rsidP="008C707F">
      <w:pPr>
        <w:pStyle w:val="a3"/>
        <w:shd w:val="clear" w:color="auto" w:fill="FFFFFF"/>
        <w:ind w:hanging="360"/>
        <w:jc w:val="both"/>
      </w:pPr>
      <w:r>
        <w:rPr>
          <w:sz w:val="14"/>
          <w:szCs w:val="14"/>
        </w:rPr>
        <w:t>     </w:t>
      </w:r>
      <w:r w:rsidR="009C4001">
        <w:rPr>
          <w:sz w:val="14"/>
          <w:szCs w:val="14"/>
        </w:rPr>
        <w:tab/>
      </w:r>
      <w:r w:rsidR="009C4001">
        <w:rPr>
          <w:sz w:val="14"/>
          <w:szCs w:val="14"/>
        </w:rPr>
        <w:tab/>
      </w:r>
      <w:r>
        <w:rPr>
          <w:sz w:val="14"/>
          <w:szCs w:val="14"/>
        </w:rPr>
        <w:t xml:space="preserve"> </w:t>
      </w:r>
      <w:r w:rsidR="008C707F" w:rsidRPr="008C707F">
        <w:t>Экономика многих стран построена на принципе допустимости участия частного капитала в развитии инфраструктуры. Данная концепция получила развитие и в Российской Федерации (приватизация, реформа электроэнергетической отрасли, концессионные соглашения и пр.). С 2008 г. началась реализация 13 крупных инфраструктурных проектов на основе государственно-частного партнерства</w:t>
      </w:r>
      <w:r w:rsidR="008C707F">
        <w:t>, в том числе таких, как</w:t>
      </w:r>
      <w:r w:rsidR="009C4001">
        <w:t xml:space="preserve">: </w:t>
      </w:r>
    </w:p>
    <w:p w:rsidR="00B6374E" w:rsidRPr="00B6374E" w:rsidRDefault="00B6374E" w:rsidP="00B6374E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скоростной автомобильной дороги Москва - Санкт-Петербург на участке 15-58 км. Сметная стоимость: 66,1 млрд. рублей. Средства </w:t>
      </w:r>
      <w:proofErr w:type="spellStart"/>
      <w:r w:rsidRPr="00B6374E">
        <w:rPr>
          <w:rFonts w:ascii="Times New Roman" w:eastAsia="Times New Roman" w:hAnsi="Times New Roman" w:cs="Times New Roman"/>
          <w:sz w:val="24"/>
          <w:szCs w:val="24"/>
        </w:rPr>
        <w:t>Инвестфонда</w:t>
      </w:r>
      <w:proofErr w:type="spellEnd"/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 - 29,5 </w:t>
      </w:r>
      <w:proofErr w:type="gramStart"/>
      <w:r w:rsidRPr="00B6374E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gramEnd"/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 руб. (45%), частные инвестиции - 36,5 млрд руб. (55%);</w:t>
      </w:r>
    </w:p>
    <w:p w:rsidR="00B6374E" w:rsidRPr="00B6374E" w:rsidRDefault="00B6374E" w:rsidP="00B6374E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железнодорожной линии Кызыл - Курагино в увязке с освоением минерально-сырьевой базы Республики Тыва.  Стоимость: 49,3 млрд. рублей из бюджета и 110,2 </w:t>
      </w:r>
      <w:proofErr w:type="gramStart"/>
      <w:r w:rsidRPr="00B6374E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gramEnd"/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 руб. - частные инвестиции;</w:t>
      </w:r>
    </w:p>
    <w:p w:rsidR="00B6374E" w:rsidRPr="00B6374E" w:rsidRDefault="00B6374E" w:rsidP="00B6374E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платной автомобильной дороги «новый выход на МКАД федеральной дороги м-1 «Беларусь» Москва – Минск. Объем инвестиций: </w:t>
      </w:r>
      <w:r w:rsidR="004B654A">
        <w:rPr>
          <w:rFonts w:ascii="Times New Roman" w:eastAsia="Times New Roman" w:hAnsi="Times New Roman" w:cs="Times New Roman"/>
          <w:sz w:val="24"/>
          <w:szCs w:val="24"/>
        </w:rPr>
        <w:t>около 30</w:t>
      </w:r>
      <w:bookmarkStart w:id="0" w:name="_GoBack"/>
      <w:bookmarkEnd w:id="0"/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 млрд. руб., из которых 11 млрд. руб. - средства Инвестиционного фонда РФ;</w:t>
      </w:r>
    </w:p>
    <w:p w:rsidR="00B6374E" w:rsidRPr="00B6374E" w:rsidRDefault="00B6374E" w:rsidP="00B6374E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374E">
        <w:rPr>
          <w:rFonts w:ascii="Times New Roman" w:eastAsia="Times New Roman" w:hAnsi="Times New Roman" w:cs="Times New Roman"/>
          <w:sz w:val="24"/>
          <w:szCs w:val="24"/>
        </w:rPr>
        <w:t>Кузнецовский</w:t>
      </w:r>
      <w:proofErr w:type="spellEnd"/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 тоннель на БАМе. Стоимость: 13 млрд. рублей из бюджета и 13 млрд. рублей - частные инвестиции;</w:t>
      </w:r>
    </w:p>
    <w:p w:rsidR="00B6374E" w:rsidRPr="00B6374E" w:rsidRDefault="00B6374E" w:rsidP="00B6374E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Комплексная программа строительства и реконструкции объектов водоснабжения и водоотведения г. Ростова-на-Дону и юго-запада Ростовской области. Стоимость 13,7 млрд. руб. Средства </w:t>
      </w:r>
      <w:proofErr w:type="spellStart"/>
      <w:r w:rsidRPr="00B6374E">
        <w:rPr>
          <w:rFonts w:ascii="Times New Roman" w:eastAsia="Times New Roman" w:hAnsi="Times New Roman" w:cs="Times New Roman"/>
          <w:sz w:val="24"/>
          <w:szCs w:val="24"/>
        </w:rPr>
        <w:t>Инвестфонда</w:t>
      </w:r>
      <w:proofErr w:type="spellEnd"/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 – 6,6 млрд. руб., частных инвесторов – 4,8 млрд. руб. Введено 14 объектов, освоено 4,3 млрд. руб.;</w:t>
      </w:r>
    </w:p>
    <w:p w:rsidR="00B6374E" w:rsidRPr="00B6374E" w:rsidRDefault="00B6374E" w:rsidP="00B6374E">
      <w:pPr>
        <w:pStyle w:val="a4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Строительство трёх физкультурно-оздоровительных комплексов в Нижегородской области. Сметная стоимость: 1,4 млрд. рублей</w:t>
      </w:r>
    </w:p>
    <w:p w:rsidR="00B6374E" w:rsidRDefault="00B6374E" w:rsidP="008C707F">
      <w:pPr>
        <w:pStyle w:val="a3"/>
        <w:shd w:val="clear" w:color="auto" w:fill="FFFFFF"/>
        <w:ind w:hanging="360"/>
        <w:jc w:val="both"/>
      </w:pPr>
    </w:p>
    <w:p w:rsidR="008C707F" w:rsidRPr="008C707F" w:rsidRDefault="00B6374E" w:rsidP="00B6374E">
      <w:pPr>
        <w:pStyle w:val="a3"/>
        <w:shd w:val="clear" w:color="auto" w:fill="FFFFFF"/>
        <w:ind w:firstLine="567"/>
        <w:jc w:val="both"/>
      </w:pPr>
      <w:proofErr w:type="gramStart"/>
      <w:r w:rsidRPr="00B6374E">
        <w:t>К сожалению, в</w:t>
      </w:r>
      <w:r w:rsidR="008C707F">
        <w:t xml:space="preserve"> настоящее время существует ряд </w:t>
      </w:r>
      <w:r w:rsidR="00537924">
        <w:t xml:space="preserve">сдерживающих </w:t>
      </w:r>
      <w:r w:rsidR="008C707F">
        <w:t>законодательных</w:t>
      </w:r>
      <w:r w:rsidR="00537924">
        <w:t xml:space="preserve"> ограничений, затрудняющих инвестирование средств институциональных инвесторов, в частности пенсионных средств, к которым в первую очередь можно отнести ограничения по структуре активов, разрешенный для инвестирования средств пенсионных накоплений, отсутствие института «длинных денег» - процесс инвестирования ограничен рамками 1 (одного) года, по результатам которого должна быть показана безубыточность и отсутствие возможности разнесения отрицательных результатов</w:t>
      </w:r>
      <w:proofErr w:type="gramEnd"/>
      <w:r w:rsidR="00537924">
        <w:t xml:space="preserve"> инвестирования в пределах одного года по индивидуальным лицевым счетам. </w:t>
      </w:r>
      <w:r w:rsidR="008C707F">
        <w:t xml:space="preserve"> </w:t>
      </w:r>
      <w:r w:rsidR="00537924">
        <w:t>Существует и ряд общих препятствий, затрудняющих привлечение средств частных инвесторов, например: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законодательно регламентированной процедуры </w:t>
      </w:r>
      <w:proofErr w:type="spellStart"/>
      <w:r w:rsidRPr="008C707F">
        <w:rPr>
          <w:rFonts w:ascii="Times New Roman" w:eastAsia="Times New Roman" w:hAnsi="Times New Roman" w:cs="Times New Roman"/>
          <w:sz w:val="24"/>
          <w:szCs w:val="24"/>
        </w:rPr>
        <w:t>секьюритизации</w:t>
      </w:r>
      <w:proofErr w:type="spellEnd"/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 денежных потоков, не являющихся платежами по ипотечным кредитам; 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недопустимость залога прав требования по концессионному соглашению; 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круг объектов инвестирования крупных потенциальных инвесторов (например, средства пенсионных накоплений могут быть вложены в специально предусмотренные Правительством Российской Федерации ценные бумаги); 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органа, уполномоченного осуществлять </w:t>
      </w:r>
      <w:proofErr w:type="gramStart"/>
      <w:r w:rsidRPr="008C707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эмитентом инфраструктурного проекта, и обязательств по инфраструктурным облигациям; 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специальной правоспособности эмитента инфраструктурных облигаций; 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налоговых льгот для владельцев инфраструктурных </w:t>
      </w:r>
      <w:proofErr w:type="gramStart"/>
      <w:r w:rsidRPr="008C707F">
        <w:rPr>
          <w:rFonts w:ascii="Times New Roman" w:eastAsia="Times New Roman" w:hAnsi="Times New Roman" w:cs="Times New Roman"/>
          <w:sz w:val="24"/>
          <w:szCs w:val="24"/>
        </w:rPr>
        <w:t>облигаций</w:t>
      </w:r>
      <w:proofErr w:type="gramEnd"/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 как на федеральном, так и на местном уровнях, в том числе применительно к ОЭЗ; </w:t>
      </w:r>
    </w:p>
    <w:p w:rsidR="008C707F" w:rsidRPr="008C707F" w:rsidRDefault="008C707F" w:rsidP="008C707F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налоговых льгот для эмитента-концессионера; </w:t>
      </w:r>
    </w:p>
    <w:p w:rsidR="008C3A09" w:rsidRPr="008C3A09" w:rsidRDefault="008C707F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>ограничения возможностей выпуска облигаций хозяйственными обществами</w:t>
      </w:r>
      <w:r w:rsidR="008C3A09" w:rsidRPr="008C3A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3A09" w:rsidRDefault="008C707F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A09" w:rsidRPr="008C3A09">
        <w:rPr>
          <w:rFonts w:ascii="Times New Roman" w:hAnsi="Times New Roman" w:cs="Times New Roman"/>
          <w:sz w:val="24"/>
          <w:szCs w:val="24"/>
        </w:rPr>
        <w:t>нет соответствующей технической экспертизы проектов;</w:t>
      </w:r>
    </w:p>
    <w:p w:rsidR="008C3A09" w:rsidRDefault="008C3A09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A09">
        <w:rPr>
          <w:rFonts w:ascii="Times New Roman" w:hAnsi="Times New Roman" w:cs="Times New Roman"/>
          <w:sz w:val="24"/>
          <w:szCs w:val="24"/>
        </w:rPr>
        <w:t xml:space="preserve"> отсутствует финансовая экспертиза проектов;</w:t>
      </w:r>
    </w:p>
    <w:p w:rsidR="008C3A09" w:rsidRDefault="008C3A09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A09">
        <w:rPr>
          <w:rFonts w:ascii="Times New Roman" w:hAnsi="Times New Roman" w:cs="Times New Roman"/>
          <w:sz w:val="24"/>
          <w:szCs w:val="24"/>
        </w:rPr>
        <w:t xml:space="preserve"> нет проектного риск менеджмента;</w:t>
      </w:r>
    </w:p>
    <w:p w:rsidR="008C3A09" w:rsidRDefault="008C3A09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A09">
        <w:rPr>
          <w:rFonts w:ascii="Times New Roman" w:hAnsi="Times New Roman" w:cs="Times New Roman"/>
          <w:sz w:val="24"/>
          <w:szCs w:val="24"/>
        </w:rPr>
        <w:t xml:space="preserve"> не достаточно защищены права концессионера/инвестора инфраструктурных ценных бумаг;</w:t>
      </w:r>
    </w:p>
    <w:p w:rsidR="008C3A09" w:rsidRDefault="008C3A09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A09">
        <w:rPr>
          <w:rFonts w:ascii="Times New Roman" w:hAnsi="Times New Roman" w:cs="Times New Roman"/>
          <w:sz w:val="24"/>
          <w:szCs w:val="24"/>
        </w:rPr>
        <w:t xml:space="preserve">  нет возможности ориентироваться на рейтинги российских рейтинговых агентств, при этом иностранные рейтинговые агентства учитывают политические риски и риски бенефициара, а также иные не финансовые экзотические риски, тем самым снижая рейтинг долгосрочных проектов;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A09" w:rsidRPr="008C3A09" w:rsidRDefault="008C3A09" w:rsidP="008C3A09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A09">
        <w:rPr>
          <w:rFonts w:ascii="Times New Roman" w:hAnsi="Times New Roman" w:cs="Times New Roman"/>
          <w:sz w:val="24"/>
          <w:szCs w:val="24"/>
        </w:rPr>
        <w:t xml:space="preserve"> доходность по инфраструктурным ценным бумагам ничем не гарантирована и т.д.</w:t>
      </w:r>
    </w:p>
    <w:p w:rsidR="00B6374E" w:rsidRPr="00B55AF7" w:rsidRDefault="00537924" w:rsidP="00B6374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14"/>
        </w:rPr>
      </w:pPr>
      <w:r>
        <w:t xml:space="preserve">В рамках конференции </w:t>
      </w:r>
      <w:r w:rsidR="00B6374E">
        <w:t xml:space="preserve">особое внимание было уделено </w:t>
      </w:r>
      <w:r>
        <w:t>международной практике развития инфраструктурных проектов</w:t>
      </w:r>
      <w:r w:rsidR="00B6374E">
        <w:t xml:space="preserve">, были рассмотрены некоторые формы государственно-частного партнерства в России и за рубежом. </w:t>
      </w:r>
    </w:p>
    <w:p w:rsidR="00B6374E" w:rsidRDefault="00B6374E" w:rsidP="00B6374E">
      <w:pPr>
        <w:pStyle w:val="a3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inorHAnsi" w:eastAsiaTheme="minorEastAsia" w:hAnsi="Calibri" w:cs="Arial"/>
          <w:b/>
          <w:color w:val="404040" w:themeColor="text1" w:themeTint="BF"/>
          <w:kern w:val="24"/>
          <w:sz w:val="20"/>
          <w:szCs w:val="20"/>
        </w:rPr>
      </w:pPr>
    </w:p>
    <w:p w:rsidR="00B6374E" w:rsidRPr="00B6374E" w:rsidRDefault="00B6374E" w:rsidP="00B6374E">
      <w:pPr>
        <w:pStyle w:val="a3"/>
        <w:kinsoku w:val="0"/>
        <w:overflowPunct w:val="0"/>
        <w:spacing w:before="134" w:beforeAutospacing="0" w:after="0" w:afterAutospacing="0"/>
        <w:jc w:val="both"/>
        <w:textAlignment w:val="baseline"/>
      </w:pPr>
      <w:r>
        <w:t xml:space="preserve">Применительно к отечественной практике была рассмотрена форма </w:t>
      </w:r>
      <w:r w:rsidRPr="00B6374E">
        <w:t>Концесси</w:t>
      </w:r>
      <w:r>
        <w:t>и</w:t>
      </w:r>
      <w:r w:rsidRPr="00B6374E">
        <w:t xml:space="preserve"> </w:t>
      </w:r>
      <w:r>
        <w:t>–</w:t>
      </w:r>
      <w:r w:rsidRPr="00B6374E">
        <w:t xml:space="preserve"> </w:t>
      </w:r>
      <w:r>
        <w:t xml:space="preserve">как </w:t>
      </w:r>
      <w:r w:rsidRPr="00B6374E">
        <w:t>форма государственно-частного партнерства, обеспечивающая инвестора гарантиями государства. Единственный законодательно описанный на федеральном уровне вид государственно-частного партнерства (Федеральный закон от 21.07.2005 г. N115- ФЗ «О концессионных соглашениях»).</w:t>
      </w:r>
    </w:p>
    <w:p w:rsidR="00B6374E" w:rsidRDefault="00B6374E" w:rsidP="00B6374E">
      <w:pPr>
        <w:pStyle w:val="a3"/>
        <w:kinsoku w:val="0"/>
        <w:overflowPunct w:val="0"/>
        <w:spacing w:before="134" w:beforeAutospacing="0" w:after="0" w:afterAutospacing="0"/>
        <w:jc w:val="both"/>
        <w:textAlignment w:val="baseline"/>
      </w:pPr>
      <w:r>
        <w:lastRenderedPageBreak/>
        <w:t>Используя международный опыт, были выделены такие формы, как:</w:t>
      </w:r>
    </w:p>
    <w:p w:rsidR="00B6374E" w:rsidRPr="00B6374E" w:rsidRDefault="00B6374E" w:rsidP="00B6374E">
      <w:pPr>
        <w:pStyle w:val="a3"/>
        <w:kinsoku w:val="0"/>
        <w:overflowPunct w:val="0"/>
        <w:spacing w:before="134" w:beforeAutospacing="0" w:after="0" w:afterAutospacing="0"/>
        <w:jc w:val="both"/>
        <w:textAlignment w:val="baseline"/>
      </w:pPr>
      <w:r>
        <w:t xml:space="preserve"> </w:t>
      </w:r>
      <w:r w:rsidRPr="00B6374E">
        <w:t xml:space="preserve">PPP – используемый в развитых странах механизм </w:t>
      </w:r>
      <w:proofErr w:type="spellStart"/>
      <w:r w:rsidRPr="00B6374E">
        <w:t>частно</w:t>
      </w:r>
      <w:proofErr w:type="spellEnd"/>
      <w:r w:rsidRPr="00B6374E">
        <w:t>-государственного партнерства с исторически устоявшимися сферами применения, моделями реализаци</w:t>
      </w:r>
      <w:r>
        <w:t>и и используемыми инструментами, и</w:t>
      </w:r>
    </w:p>
    <w:p w:rsidR="00B6374E" w:rsidRPr="00B6374E" w:rsidRDefault="00B6374E" w:rsidP="00B6374E">
      <w:pPr>
        <w:pStyle w:val="a3"/>
        <w:kinsoku w:val="0"/>
        <w:overflowPunct w:val="0"/>
        <w:spacing w:before="134" w:beforeAutospacing="0" w:after="0" w:afterAutospacing="0"/>
        <w:jc w:val="both"/>
        <w:textAlignment w:val="baseline"/>
      </w:pPr>
      <w:r w:rsidRPr="00B6374E">
        <w:t xml:space="preserve">Корпорации общественного блага – разрешённая в США форма существования юридического лица,  которому передается часть бюджетных доходов в форме форвардной продажи, под которые в последствии выпускается </w:t>
      </w:r>
      <w:proofErr w:type="gramStart"/>
      <w:r w:rsidRPr="00B6374E">
        <w:t>облигационный</w:t>
      </w:r>
      <w:proofErr w:type="gramEnd"/>
      <w:r w:rsidRPr="00B6374E">
        <w:t xml:space="preserve"> </w:t>
      </w:r>
      <w:proofErr w:type="spellStart"/>
      <w:r w:rsidRPr="00B6374E">
        <w:t>займ</w:t>
      </w:r>
      <w:proofErr w:type="spellEnd"/>
      <w:r w:rsidRPr="00B6374E">
        <w:t>. Корпорация общественного блага надежно защищена от перспективы ухудшения кредитоспособности своего непосредственного учредителя, поскольку она является теперь первоочередным непосредственным получателем выделенных из бюджета доходов.</w:t>
      </w:r>
    </w:p>
    <w:p w:rsidR="00B6374E" w:rsidRPr="00B6374E" w:rsidRDefault="00B6374E" w:rsidP="00B637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>Анализ зарубежного опыта свидетельствует о том, что инфраструктурные облигации могут выпускаться в форме:</w:t>
      </w:r>
    </w:p>
    <w:p w:rsidR="00B6374E" w:rsidRPr="00B6374E" w:rsidRDefault="00B6374E" w:rsidP="00B6374E">
      <w:pPr>
        <w:numPr>
          <w:ilvl w:val="0"/>
          <w:numId w:val="4"/>
        </w:numPr>
        <w:spacing w:before="100" w:beforeAutospacing="1" w:after="100" w:afterAutospacing="1" w:line="240" w:lineRule="auto"/>
        <w:ind w:left="11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или муниципальных облигаций; </w:t>
      </w:r>
    </w:p>
    <w:p w:rsidR="00B6374E" w:rsidRPr="00B6374E" w:rsidRDefault="00B6374E" w:rsidP="00B6374E">
      <w:pPr>
        <w:numPr>
          <w:ilvl w:val="0"/>
          <w:numId w:val="4"/>
        </w:numPr>
        <w:spacing w:before="100" w:beforeAutospacing="1" w:after="100" w:afterAutospacing="1" w:line="240" w:lineRule="auto"/>
        <w:ind w:left="11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корпоративных облигаций, эмитентом которых является специально созданное государством юридическое лицо (государственная корпорация) для финансирования конкретного инфраструктурного проекта; </w:t>
      </w:r>
    </w:p>
    <w:p w:rsidR="00B6374E" w:rsidRPr="00B6374E" w:rsidRDefault="00B6374E" w:rsidP="00B6374E">
      <w:pPr>
        <w:numPr>
          <w:ilvl w:val="0"/>
          <w:numId w:val="4"/>
        </w:numPr>
        <w:spacing w:before="100" w:beforeAutospacing="1" w:after="100" w:afterAutospacing="1" w:line="240" w:lineRule="auto"/>
        <w:ind w:left="11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корпоративные облигации, выпускаемые функционирующими юридическими лицами, которые являются собственниками инфраструктурного объекта и намерены модернизировать старый или построить новый объект на привлеченные облигационные средства; </w:t>
      </w:r>
    </w:p>
    <w:p w:rsidR="00B6374E" w:rsidRPr="00B6374E" w:rsidRDefault="00B6374E" w:rsidP="00B6374E">
      <w:pPr>
        <w:numPr>
          <w:ilvl w:val="0"/>
          <w:numId w:val="4"/>
        </w:numPr>
        <w:spacing w:before="100" w:beforeAutospacing="1" w:after="100" w:afterAutospacing="1" w:line="240" w:lineRule="auto"/>
        <w:ind w:left="11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74E">
        <w:rPr>
          <w:rFonts w:ascii="Times New Roman" w:eastAsia="Times New Roman" w:hAnsi="Times New Roman" w:cs="Times New Roman"/>
          <w:sz w:val="24"/>
          <w:szCs w:val="24"/>
        </w:rPr>
        <w:t>корпоративных облигаций, эмитентом которых является юридическое лицо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74E">
        <w:rPr>
          <w:rFonts w:ascii="Times New Roman" w:eastAsia="Times New Roman" w:hAnsi="Times New Roman" w:cs="Times New Roman"/>
          <w:sz w:val="24"/>
          <w:szCs w:val="24"/>
        </w:rPr>
        <w:t xml:space="preserve">- концессионер, в том числе SPV. </w:t>
      </w:r>
    </w:p>
    <w:p w:rsidR="008C707F" w:rsidRPr="008C707F" w:rsidRDefault="00B6374E" w:rsidP="00B637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международного опыта, и</w:t>
      </w:r>
      <w:r w:rsidR="008C707F" w:rsidRPr="008C707F">
        <w:rPr>
          <w:rFonts w:ascii="Times New Roman" w:eastAsia="Times New Roman" w:hAnsi="Times New Roman" w:cs="Times New Roman"/>
          <w:sz w:val="24"/>
          <w:szCs w:val="24"/>
        </w:rPr>
        <w:t>ностранные государства принимают все возможные меры для стимулирования развития облигационного финансирования концессионеров, в том числе путем:</w:t>
      </w:r>
    </w:p>
    <w:p w:rsidR="008C707F" w:rsidRPr="008C707F" w:rsidRDefault="008C707F" w:rsidP="008C707F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налоговых льгот владельцам облигаций в форме льгот по налогу на доходы физических или юридических лиц; </w:t>
      </w:r>
    </w:p>
    <w:p w:rsidR="008C707F" w:rsidRPr="008C707F" w:rsidRDefault="008C707F" w:rsidP="008C707F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налоговых льгот концессионеру; </w:t>
      </w:r>
    </w:p>
    <w:p w:rsidR="008C707F" w:rsidRPr="008C707F" w:rsidRDefault="008C707F" w:rsidP="008C707F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государственных гарантий по денежным обязательствам концессионера перед владельцами инфраструктурных облигаций; </w:t>
      </w:r>
    </w:p>
    <w:p w:rsidR="008C707F" w:rsidRPr="008C707F" w:rsidRDefault="008C707F" w:rsidP="008C707F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путем введения на законодательном уровне моратория на предъявление облигаций к выкупу или досрочному погашению, обеспечением следования которому является неприменение налоговых льгот к владельцам облигаций, в собственности которых облигации находились менее установленного законом срока; </w:t>
      </w:r>
    </w:p>
    <w:p w:rsidR="008C707F" w:rsidRPr="008C707F" w:rsidRDefault="008C707F" w:rsidP="008C707F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путем предоставления так называемых молчаливых гарантий на случай </w:t>
      </w:r>
      <w:proofErr w:type="spellStart"/>
      <w:r w:rsidRPr="008C707F">
        <w:rPr>
          <w:rFonts w:ascii="Times New Roman" w:eastAsia="Times New Roman" w:hAnsi="Times New Roman" w:cs="Times New Roman"/>
          <w:sz w:val="24"/>
          <w:szCs w:val="24"/>
        </w:rPr>
        <w:t>нереализации</w:t>
      </w:r>
      <w:proofErr w:type="spellEnd"/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инфраструктурного проекта, </w:t>
      </w:r>
      <w:proofErr w:type="spellStart"/>
      <w:r w:rsidRPr="008C707F">
        <w:rPr>
          <w:rFonts w:ascii="Times New Roman" w:eastAsia="Times New Roman" w:hAnsi="Times New Roman" w:cs="Times New Roman"/>
          <w:sz w:val="24"/>
          <w:szCs w:val="24"/>
        </w:rPr>
        <w:t>презюмируя</w:t>
      </w:r>
      <w:proofErr w:type="spellEnd"/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 социальную значимость проекта; </w:t>
      </w:r>
    </w:p>
    <w:p w:rsidR="008C707F" w:rsidRPr="008C707F" w:rsidRDefault="008C707F" w:rsidP="008C707F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7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возможности залога облигаций в качестве обеспечения по кредиту, предоставляемому государственным банком, в целях привлечения кредитных организаций как инвесторов. </w:t>
      </w:r>
    </w:p>
    <w:p w:rsidR="00EA6AD2" w:rsidRDefault="00EA6AD2" w:rsidP="00EA6AD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D2" w:rsidRPr="00EA6AD2" w:rsidRDefault="00EA6AD2" w:rsidP="00ED05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AD2">
        <w:rPr>
          <w:rFonts w:ascii="Times New Roman" w:hAnsi="Times New Roman" w:cs="Times New Roman"/>
          <w:sz w:val="24"/>
          <w:szCs w:val="24"/>
        </w:rPr>
        <w:t>Учитывая результаты конференции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6AD2">
        <w:rPr>
          <w:rFonts w:ascii="Times New Roman" w:hAnsi="Times New Roman" w:cs="Times New Roman"/>
          <w:sz w:val="24"/>
          <w:szCs w:val="24"/>
        </w:rPr>
        <w:t xml:space="preserve"> в качестве альтернативного варианта развития инфраструктурных проектов посредством выпуска инфраструктурных облигаций</w:t>
      </w:r>
      <w:r>
        <w:rPr>
          <w:rFonts w:ascii="Times New Roman" w:hAnsi="Times New Roman" w:cs="Times New Roman"/>
          <w:sz w:val="24"/>
          <w:szCs w:val="24"/>
        </w:rPr>
        <w:t xml:space="preserve"> и исходя из целей </w:t>
      </w:r>
      <w:r w:rsidRPr="00EA6AD2">
        <w:rPr>
          <w:rFonts w:ascii="Times New Roman" w:hAnsi="Times New Roman" w:cs="Times New Roman"/>
          <w:sz w:val="24"/>
          <w:szCs w:val="24"/>
        </w:rPr>
        <w:t xml:space="preserve"> создания и внедрения </w:t>
      </w:r>
      <w:r>
        <w:rPr>
          <w:rFonts w:ascii="Times New Roman" w:hAnsi="Times New Roman" w:cs="Times New Roman"/>
          <w:sz w:val="24"/>
          <w:szCs w:val="24"/>
        </w:rPr>
        <w:t xml:space="preserve">основных требований к проектам, а также </w:t>
      </w:r>
      <w:r w:rsidRPr="00EA6AD2">
        <w:rPr>
          <w:rFonts w:ascii="Times New Roman" w:hAnsi="Times New Roman" w:cs="Times New Roman"/>
          <w:sz w:val="24"/>
          <w:szCs w:val="24"/>
        </w:rPr>
        <w:t xml:space="preserve">типовых форм  и единых унифицированных технических требований к подобным проектам.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Применительно к российской экономике</w:t>
      </w:r>
      <w:r w:rsidR="00F04D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рассмотреть возможность развития этого сегмента по одной из следующих моделей, едиными критериями для которых </w:t>
      </w:r>
      <w:r>
        <w:rPr>
          <w:rFonts w:ascii="Times New Roman" w:hAnsi="Times New Roman" w:cs="Times New Roman"/>
          <w:sz w:val="24"/>
          <w:szCs w:val="24"/>
        </w:rPr>
        <w:lastRenderedPageBreak/>
        <w:t>выступают: с</w:t>
      </w:r>
      <w:r w:rsidRPr="00EA6AD2">
        <w:rPr>
          <w:rFonts w:ascii="Times New Roman" w:hAnsi="Times New Roman" w:cs="Times New Roman"/>
          <w:sz w:val="24"/>
          <w:szCs w:val="24"/>
        </w:rPr>
        <w:t xml:space="preserve"> целью повышения кредитных рейтингов надежности предлагается рассмотреть возможность предоставления государственных гарантий под выпуски бумаг в рамках инфраструктурных проектов</w:t>
      </w:r>
      <w:r>
        <w:rPr>
          <w:rFonts w:ascii="Times New Roman" w:hAnsi="Times New Roman" w:cs="Times New Roman"/>
          <w:sz w:val="24"/>
          <w:szCs w:val="24"/>
        </w:rPr>
        <w:t>; м</w:t>
      </w:r>
      <w:r w:rsidRPr="00EA6AD2">
        <w:rPr>
          <w:rFonts w:ascii="Times New Roman" w:hAnsi="Times New Roman" w:cs="Times New Roman"/>
          <w:sz w:val="24"/>
          <w:szCs w:val="24"/>
        </w:rPr>
        <w:t>инимальные требования к доходности инфраструктурных проектов целесообразно рассчитывать на уровне страновой инфляции, с горизонтом 10-15 лет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2DB7" w:rsidRDefault="008C3A09" w:rsidP="00ED05C9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</w:rPr>
        <w:tab/>
      </w:r>
      <w:r w:rsidRPr="008C3A09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>, что у</w:t>
      </w:r>
      <w:r w:rsidRPr="00ED05C9">
        <w:rPr>
          <w:rFonts w:ascii="Times New Roman" w:hAnsi="Times New Roman" w:cs="Times New Roman"/>
          <w:sz w:val="24"/>
          <w:szCs w:val="24"/>
        </w:rPr>
        <w:t>стойчивое и эффективное функционирование инфраструктуры — необходимое условие высоких темпов экономического роста, обеспечения целостности, национальной безопасности и обороноспособности страны, повышения качества жизни населения, рациональной интеграции Российской Федерации в мировую экономику</w:t>
      </w:r>
      <w:r w:rsidRPr="008C3A09">
        <w:rPr>
          <w:rFonts w:ascii="Times New Roman" w:hAnsi="Times New Roman" w:cs="Times New Roman"/>
          <w:sz w:val="24"/>
          <w:szCs w:val="24"/>
        </w:rPr>
        <w:t xml:space="preserve">, просим рассмотреть предложенные модели развития сегмента инвестирования в инфраструктурные проекты, в качестве </w:t>
      </w:r>
      <w:r w:rsidRPr="00ED05C9">
        <w:rPr>
          <w:rFonts w:ascii="Times New Roman" w:hAnsi="Times New Roman" w:cs="Times New Roman"/>
          <w:sz w:val="24"/>
          <w:szCs w:val="24"/>
        </w:rPr>
        <w:t xml:space="preserve">механизмов объединения государственного и частного капитала, а также организовать работу по устранению сдерживающих </w:t>
      </w:r>
      <w:r w:rsidR="00ED05C9">
        <w:rPr>
          <w:rFonts w:ascii="Times New Roman" w:hAnsi="Times New Roman" w:cs="Times New Roman"/>
          <w:sz w:val="24"/>
          <w:szCs w:val="24"/>
        </w:rPr>
        <w:t xml:space="preserve">законодательно закрепленных </w:t>
      </w:r>
      <w:r w:rsidRPr="00ED05C9">
        <w:rPr>
          <w:rFonts w:ascii="Times New Roman" w:hAnsi="Times New Roman" w:cs="Times New Roman"/>
          <w:sz w:val="24"/>
          <w:szCs w:val="24"/>
        </w:rPr>
        <w:t>факторов</w:t>
      </w:r>
      <w:r w:rsidR="00ED05C9">
        <w:rPr>
          <w:rFonts w:ascii="Times New Roman" w:hAnsi="Times New Roman" w:cs="Times New Roman"/>
          <w:sz w:val="24"/>
          <w:szCs w:val="24"/>
        </w:rPr>
        <w:t>, указанных в настоящем письме</w:t>
      </w:r>
      <w:r w:rsidRPr="00ED05C9">
        <w:rPr>
          <w:rFonts w:ascii="Times New Roman" w:hAnsi="Times New Roman" w:cs="Times New Roman"/>
          <w:sz w:val="24"/>
          <w:szCs w:val="24"/>
        </w:rPr>
        <w:t>, посредством внесения соответствующих изменений в действующее законодательство</w:t>
      </w:r>
      <w:r w:rsidR="00ED05C9" w:rsidRPr="00ED05C9">
        <w:rPr>
          <w:rFonts w:ascii="Times New Roman" w:hAnsi="Times New Roman" w:cs="Times New Roman"/>
          <w:sz w:val="24"/>
          <w:szCs w:val="24"/>
        </w:rPr>
        <w:t>, направленных на создание благоприятного инвестиционного климата.</w:t>
      </w:r>
      <w:r w:rsidR="00312DB7" w:rsidRPr="00ED05C9">
        <w:rPr>
          <w:rFonts w:ascii="Times New Roman" w:hAnsi="Times New Roman" w:cs="Times New Roman"/>
          <w:sz w:val="24"/>
          <w:szCs w:val="24"/>
        </w:rPr>
        <w:t xml:space="preserve">      </w:t>
      </w:r>
    </w:p>
    <w:sectPr w:rsidR="00312DB7" w:rsidSect="007812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E12"/>
    <w:multiLevelType w:val="multilevel"/>
    <w:tmpl w:val="B728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A3C6A"/>
    <w:multiLevelType w:val="hybridMultilevel"/>
    <w:tmpl w:val="C226E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1368C"/>
    <w:multiLevelType w:val="multilevel"/>
    <w:tmpl w:val="AC28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DF48A5"/>
    <w:multiLevelType w:val="multilevel"/>
    <w:tmpl w:val="01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B7"/>
    <w:rsid w:val="000276F7"/>
    <w:rsid w:val="00312DB7"/>
    <w:rsid w:val="004B654A"/>
    <w:rsid w:val="00537924"/>
    <w:rsid w:val="007812CF"/>
    <w:rsid w:val="00873AE2"/>
    <w:rsid w:val="008A7C0C"/>
    <w:rsid w:val="008C3A09"/>
    <w:rsid w:val="008C707F"/>
    <w:rsid w:val="008E6479"/>
    <w:rsid w:val="00945714"/>
    <w:rsid w:val="009B52B0"/>
    <w:rsid w:val="009C4001"/>
    <w:rsid w:val="00B400D4"/>
    <w:rsid w:val="00B6374E"/>
    <w:rsid w:val="00E305C7"/>
    <w:rsid w:val="00EA6AD2"/>
    <w:rsid w:val="00ED05C9"/>
    <w:rsid w:val="00F04DE8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888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246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713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808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8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4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84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48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5220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996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51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258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70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516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727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9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44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43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2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1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2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64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01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73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4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38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00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97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793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164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14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78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48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289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880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4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6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92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6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760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336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846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3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Зверева Анна</cp:lastModifiedBy>
  <cp:revision>2</cp:revision>
  <dcterms:created xsi:type="dcterms:W3CDTF">2013-03-25T08:01:00Z</dcterms:created>
  <dcterms:modified xsi:type="dcterms:W3CDTF">2013-03-25T08:01:00Z</dcterms:modified>
</cp:coreProperties>
</file>